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360" w:lineRule="auto"/>
        <w:jc w:val="center"/>
        <w:rPr>
          <w:rFonts w:ascii="Times New Roman" w:hAnsi="Times New Roman" w:cs="Times New Roman"/>
          <w:sz w:val="24"/>
        </w:rPr>
      </w:pPr>
      <w:r>
        <w:rPr>
          <w:rFonts w:ascii="Times New Roman" w:hAnsi="Times New Roman" w:cs="Times New Roman"/>
          <w:sz w:val="24"/>
        </w:rPr>
        <w:t>Institut für Orient- und Asienwissenschaften</w:t>
      </w:r>
    </w:p>
    <w:p>
      <w:pPr>
        <w:spacing w:line="360" w:lineRule="auto"/>
        <w:jc w:val="center"/>
        <w:rPr>
          <w:rFonts w:ascii="Times New Roman" w:hAnsi="Times New Roman" w:cs="Times New Roman"/>
          <w:sz w:val="24"/>
        </w:rPr>
      </w:pPr>
      <w:r>
        <w:rPr>
          <w:rFonts w:ascii="Times New Roman" w:hAnsi="Times New Roman" w:cs="Times New Roman"/>
          <w:sz w:val="24"/>
        </w:rPr>
        <w:t>Philosophische Fakultät</w:t>
      </w:r>
    </w:p>
    <w:p>
      <w:pPr>
        <w:spacing w:line="360" w:lineRule="auto"/>
        <w:jc w:val="center"/>
        <w:rPr>
          <w:rFonts w:ascii="Times New Roman" w:hAnsi="Times New Roman" w:cs="Times New Roman"/>
          <w:sz w:val="24"/>
        </w:rPr>
      </w:pPr>
      <w:r>
        <w:rPr>
          <w:rFonts w:ascii="Times New Roman" w:hAnsi="Times New Roman" w:cs="Times New Roman"/>
          <w:sz w:val="24"/>
        </w:rPr>
        <w:t>der</w:t>
      </w:r>
    </w:p>
    <w:p>
      <w:pPr>
        <w:spacing w:line="360" w:lineRule="auto"/>
        <w:jc w:val="center"/>
        <w:rPr>
          <w:rFonts w:ascii="Times New Roman" w:hAnsi="Times New Roman" w:cs="Times New Roman"/>
          <w:sz w:val="24"/>
        </w:rPr>
      </w:pPr>
      <w:r>
        <w:rPr>
          <w:rFonts w:ascii="Times New Roman" w:hAnsi="Times New Roman" w:cs="Times New Roman"/>
          <w:sz w:val="24"/>
        </w:rPr>
        <w:t>Rheinische Friedrich-Wilhelms-Universität Bonn</w:t>
      </w: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r>
        <w:rPr>
          <w:rFonts w:ascii="Times New Roman" w:hAnsi="Times New Roman" w:cs="Times New Roman"/>
          <w:sz w:val="24"/>
        </w:rPr>
        <w:t>Masterarbeit zur Erlangung des akademischen Grades</w:t>
      </w:r>
    </w:p>
    <w:p>
      <w:pPr>
        <w:spacing w:line="360" w:lineRule="auto"/>
        <w:jc w:val="center"/>
        <w:rPr>
          <w:rFonts w:ascii="Times New Roman" w:hAnsi="Times New Roman" w:cs="Times New Roman"/>
          <w:sz w:val="24"/>
          <w:lang w:val="en-US"/>
        </w:rPr>
      </w:pPr>
      <w:r>
        <w:rPr>
          <w:rFonts w:ascii="Times New Roman" w:hAnsi="Times New Roman" w:cs="Times New Roman"/>
          <w:sz w:val="24"/>
          <w:lang w:val="en-US"/>
        </w:rPr>
        <w:t>„Master of Arts (M.A.)”</w:t>
      </w:r>
    </w:p>
    <w:p>
      <w:pPr>
        <w:spacing w:line="360" w:lineRule="auto"/>
        <w:jc w:val="center"/>
        <w:rPr>
          <w:rFonts w:ascii="Times New Roman" w:hAnsi="Times New Roman" w:cs="Times New Roman"/>
          <w:sz w:val="24"/>
          <w:lang w:val="en-US"/>
        </w:rPr>
      </w:pPr>
    </w:p>
    <w:p>
      <w:pPr>
        <w:spacing w:line="360" w:lineRule="auto"/>
        <w:jc w:val="center"/>
        <w:rPr>
          <w:rFonts w:ascii="Times New Roman" w:hAnsi="Times New Roman" w:cs="Times New Roman"/>
          <w:sz w:val="24"/>
          <w:lang w:val="en-US"/>
        </w:rPr>
      </w:pPr>
    </w:p>
    <w:p>
      <w:pPr>
        <w:spacing w:line="360" w:lineRule="auto"/>
        <w:jc w:val="center"/>
        <w:rPr>
          <w:rFonts w:ascii="Times New Roman" w:hAnsi="Times New Roman" w:cs="Times New Roman"/>
          <w:b/>
          <w:sz w:val="36"/>
          <w:szCs w:val="36"/>
        </w:rPr>
      </w:pPr>
      <w:r>
        <w:rPr>
          <w:rFonts w:ascii="Times New Roman" w:hAnsi="Times New Roman" w:cs="Times New Roman"/>
          <w:b/>
          <w:sz w:val="36"/>
          <w:szCs w:val="36"/>
        </w:rPr>
        <w:t>Zwischen Misogynie und Misandrie:</w:t>
      </w:r>
    </w:p>
    <w:p>
      <w:pPr>
        <w:spacing w:line="360" w:lineRule="auto"/>
        <w:jc w:val="center"/>
        <w:rPr>
          <w:rFonts w:ascii="Times New Roman" w:hAnsi="Times New Roman" w:cs="Times New Roman"/>
          <w:b/>
          <w:sz w:val="36"/>
          <w:szCs w:val="36"/>
        </w:rPr>
      </w:pPr>
      <w:r>
        <w:rPr>
          <w:rFonts w:ascii="Times New Roman" w:hAnsi="Times New Roman" w:cs="Times New Roman"/>
          <w:b/>
          <w:sz w:val="36"/>
          <w:szCs w:val="36"/>
        </w:rPr>
        <w:t>(Cyber-) Feminismus in Südkorea</w:t>
      </w: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r>
        <w:rPr>
          <w:rFonts w:ascii="Times New Roman" w:hAnsi="Times New Roman" w:cs="Times New Roman"/>
          <w:sz w:val="24"/>
        </w:rPr>
        <w:t>Vorgelegt von</w:t>
      </w: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r>
        <w:rPr>
          <w:rFonts w:ascii="Times New Roman" w:hAnsi="Times New Roman" w:cs="Times New Roman"/>
          <w:sz w:val="24"/>
        </w:rPr>
        <w:t>Rebecca Schmidt</w:t>
      </w:r>
    </w:p>
    <w:p>
      <w:pPr>
        <w:spacing w:line="360" w:lineRule="auto"/>
        <w:jc w:val="center"/>
        <w:rPr>
          <w:rFonts w:ascii="Times New Roman" w:hAnsi="Times New Roman" w:cs="Times New Roman"/>
          <w:sz w:val="24"/>
        </w:rPr>
      </w:pPr>
      <w:r>
        <w:rPr>
          <w:rFonts w:ascii="Times New Roman" w:hAnsi="Times New Roman" w:cs="Times New Roman"/>
          <w:sz w:val="24"/>
        </w:rPr>
        <w:t>Zum Weidig 40, 96138 Burgebrach</w:t>
      </w:r>
    </w:p>
    <w:p>
      <w:pPr>
        <w:spacing w:line="360" w:lineRule="auto"/>
        <w:jc w:val="center"/>
        <w:rPr>
          <w:rFonts w:ascii="Times New Roman" w:hAnsi="Times New Roman" w:cs="Times New Roman"/>
          <w:sz w:val="24"/>
        </w:rPr>
      </w:pPr>
      <w:r>
        <w:rPr>
          <w:rFonts w:ascii="Times New Roman" w:hAnsi="Times New Roman" w:cs="Times New Roman"/>
          <w:sz w:val="24"/>
        </w:rPr>
        <w:t>E-Mail: rebecca_schmidt@live.de</w:t>
      </w: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r>
        <w:rPr>
          <w:rFonts w:ascii="Times New Roman" w:hAnsi="Times New Roman" w:cs="Times New Roman"/>
          <w:sz w:val="24"/>
        </w:rPr>
        <w:t>Matrikelnummer: 2992162</w:t>
      </w:r>
    </w:p>
    <w:p>
      <w:pPr>
        <w:spacing w:line="360" w:lineRule="auto"/>
        <w:jc w:val="center"/>
        <w:rPr>
          <w:rFonts w:ascii="Times New Roman" w:hAnsi="Times New Roman" w:cs="Times New Roman"/>
          <w:sz w:val="24"/>
        </w:rPr>
      </w:pPr>
      <w:r>
        <w:rPr>
          <w:rFonts w:ascii="Times New Roman" w:hAnsi="Times New Roman" w:cs="Times New Roman"/>
          <w:sz w:val="24"/>
        </w:rPr>
        <w:t>Asienwissenschaften, Wirtschaft und Gesellschaft in Asien</w:t>
      </w: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p>
    <w:p>
      <w:pPr>
        <w:spacing w:line="360" w:lineRule="auto"/>
        <w:rPr>
          <w:rFonts w:ascii="Times New Roman" w:hAnsi="Times New Roman" w:cs="Times New Roman"/>
          <w:sz w:val="24"/>
        </w:rPr>
      </w:pPr>
      <w:r>
        <w:rPr>
          <w:rFonts w:ascii="Times New Roman" w:hAnsi="Times New Roman" w:cs="Times New Roman"/>
          <w:sz w:val="24"/>
        </w:rPr>
        <w:t>Erstgutachter: Dr. Hans-Dieter Ölschleger</w:t>
      </w:r>
    </w:p>
    <w:p>
      <w:pPr>
        <w:spacing w:line="360" w:lineRule="auto"/>
        <w:rPr>
          <w:rFonts w:ascii="Times New Roman" w:hAnsi="Times New Roman" w:cs="Times New Roman"/>
          <w:sz w:val="24"/>
        </w:rPr>
      </w:pPr>
      <w:r>
        <w:rPr>
          <w:rFonts w:ascii="Times New Roman" w:hAnsi="Times New Roman" w:cs="Times New Roman"/>
          <w:sz w:val="24"/>
        </w:rPr>
        <w:t>Zweitgutachterin: Sooyun Oh, MA.</w:t>
      </w:r>
    </w:p>
    <w:p>
      <w:pPr>
        <w:spacing w:line="360" w:lineRule="auto"/>
        <w:jc w:val="center"/>
        <w:rPr>
          <w:rFonts w:ascii="Times New Roman" w:hAnsi="Times New Roman" w:cs="Times New Roman"/>
          <w:b/>
          <w:sz w:val="28"/>
        </w:rPr>
      </w:pPr>
      <w:r>
        <w:rPr>
          <w:rFonts w:ascii="Times New Roman" w:hAnsi="Times New Roman" w:cs="Times New Roman"/>
          <w:b/>
          <w:sz w:val="28"/>
        </w:rPr>
        <w:lastRenderedPageBreak/>
        <w:t>Inhaltsverzeichnis</w:t>
      </w:r>
    </w:p>
    <w:p>
      <w:pPr>
        <w:spacing w:line="360" w:lineRule="auto"/>
        <w:rPr>
          <w:rFonts w:ascii="Times New Roman" w:hAnsi="Times New Roman" w:cs="Times New Roman"/>
          <w:sz w:val="24"/>
        </w:rPr>
      </w:pPr>
      <w:r>
        <w:rPr>
          <w:rFonts w:ascii="Times New Roman" w:hAnsi="Times New Roman" w:cs="Times New Roman"/>
          <w:sz w:val="24"/>
        </w:rPr>
        <w:t>Abbildungsverzeichnis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w:t>
      </w:r>
    </w:p>
    <w:p>
      <w:pPr>
        <w:spacing w:line="360" w:lineRule="auto"/>
        <w:rPr>
          <w:rFonts w:ascii="Times New Roman" w:hAnsi="Times New Roman" w:cs="Times New Roman"/>
          <w:sz w:val="24"/>
        </w:rPr>
      </w:pPr>
      <w:r>
        <w:rPr>
          <w:rFonts w:ascii="Times New Roman" w:hAnsi="Times New Roman" w:cs="Times New Roman"/>
          <w:sz w:val="24"/>
        </w:rPr>
        <w:t>Tabellenverzeichnis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w:t>
      </w:r>
    </w:p>
    <w:p>
      <w:pPr>
        <w:spacing w:line="360" w:lineRule="auto"/>
        <w:rPr>
          <w:rFonts w:ascii="Times New Roman" w:hAnsi="Times New Roman" w:cs="Times New Roman"/>
          <w:sz w:val="14"/>
          <w:szCs w:val="12"/>
        </w:rPr>
      </w:pPr>
    </w:p>
    <w:p>
      <w:pPr>
        <w:pStyle w:val="Listenabsatz"/>
        <w:numPr>
          <w:ilvl w:val="0"/>
          <w:numId w:val="6"/>
        </w:numPr>
        <w:spacing w:line="360" w:lineRule="auto"/>
        <w:rPr>
          <w:rFonts w:ascii="Times New Roman" w:hAnsi="Times New Roman" w:cs="Times New Roman"/>
          <w:b/>
          <w:bCs/>
          <w:sz w:val="24"/>
        </w:rPr>
      </w:pPr>
      <w:r>
        <w:rPr>
          <w:rFonts w:ascii="Times New Roman" w:hAnsi="Times New Roman" w:cs="Times New Roman"/>
          <w:b/>
          <w:bCs/>
          <w:sz w:val="24"/>
        </w:rPr>
        <w:t>Einleitung</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00</w:t>
      </w:r>
    </w:p>
    <w:p>
      <w:pPr>
        <w:pStyle w:val="Listenabsatz"/>
        <w:spacing w:line="360" w:lineRule="auto"/>
        <w:rPr>
          <w:rFonts w:ascii="Times New Roman" w:hAnsi="Times New Roman" w:cs="Times New Roman"/>
          <w:sz w:val="24"/>
        </w:rPr>
      </w:pPr>
      <w:r>
        <w:rPr>
          <w:rFonts w:ascii="Times New Roman" w:hAnsi="Times New Roman" w:cs="Times New Roman"/>
          <w:sz w:val="24"/>
        </w:rPr>
        <w:t xml:space="preserve">1.1 </w:t>
      </w:r>
      <w:r>
        <w:rPr>
          <w:rFonts w:ascii="Times New Roman" w:hAnsi="Times New Roman" w:cs="Times New Roman"/>
          <w:sz w:val="24"/>
        </w:rPr>
        <w:tab/>
      </w:r>
      <w:r>
        <w:rPr>
          <w:rFonts w:ascii="Times New Roman" w:hAnsi="Times New Roman" w:cs="Times New Roman"/>
          <w:sz w:val="24"/>
          <w:highlight w:val="yellow"/>
        </w:rPr>
        <w:t>Relevanz des Themas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w:t>
      </w:r>
    </w:p>
    <w:p>
      <w:pPr>
        <w:pStyle w:val="Listenabsatz"/>
        <w:spacing w:line="360" w:lineRule="auto"/>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r>
      <w:r>
        <w:rPr>
          <w:rFonts w:ascii="Times New Roman" w:hAnsi="Times New Roman" w:cs="Times New Roman"/>
          <w:sz w:val="24"/>
          <w:highlight w:val="yellow"/>
        </w:rPr>
        <w:t>Aufbau der Arbeit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w:t>
      </w:r>
    </w:p>
    <w:p>
      <w:pPr>
        <w:pStyle w:val="Listenabsatz"/>
        <w:spacing w:line="360" w:lineRule="auto"/>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ab/>
        <w:t>Literatur- und Quellenlage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w:t>
      </w:r>
    </w:p>
    <w:p>
      <w:pPr>
        <w:pStyle w:val="Listenabsatz"/>
        <w:spacing w:line="360" w:lineRule="auto"/>
        <w:rPr>
          <w:rFonts w:ascii="Times New Roman" w:hAnsi="Times New Roman" w:cs="Times New Roman"/>
          <w:sz w:val="16"/>
          <w:szCs w:val="14"/>
        </w:rPr>
      </w:pPr>
    </w:p>
    <w:p>
      <w:pPr>
        <w:pStyle w:val="Listenabsatz"/>
        <w:numPr>
          <w:ilvl w:val="0"/>
          <w:numId w:val="6"/>
        </w:numPr>
        <w:spacing w:line="360" w:lineRule="auto"/>
        <w:rPr>
          <w:rFonts w:ascii="Times New Roman" w:hAnsi="Times New Roman" w:cs="Times New Roman"/>
          <w:b/>
          <w:bCs/>
          <w:sz w:val="24"/>
        </w:rPr>
      </w:pPr>
      <w:r>
        <w:rPr>
          <w:rFonts w:ascii="Times New Roman" w:hAnsi="Times New Roman" w:cs="Times New Roman"/>
          <w:b/>
          <w:bCs/>
          <w:sz w:val="24"/>
        </w:rPr>
        <w:t>Misogynie und Misandrie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00</w:t>
      </w:r>
    </w:p>
    <w:p>
      <w:pPr>
        <w:pStyle w:val="Listenabsatz"/>
        <w:spacing w:line="360" w:lineRule="auto"/>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r>
      <w:r>
        <w:rPr>
          <w:rFonts w:ascii="Times New Roman" w:hAnsi="Times New Roman" w:cs="Times New Roman"/>
          <w:sz w:val="24"/>
          <w:highlight w:val="yellow"/>
        </w:rPr>
        <w:t>Begriffserklärungen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w:t>
      </w:r>
    </w:p>
    <w:p>
      <w:pPr>
        <w:pStyle w:val="Listenabsatz"/>
        <w:spacing w:line="360" w:lineRule="auto"/>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r>
      <w:r>
        <w:rPr>
          <w:rFonts w:ascii="Times New Roman" w:hAnsi="Times New Roman" w:cs="Times New Roman"/>
          <w:sz w:val="24"/>
          <w:highlight w:val="yellow"/>
        </w:rPr>
        <w:t>In der Moderne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w:t>
      </w:r>
    </w:p>
    <w:p>
      <w:pPr>
        <w:pStyle w:val="Listenabsatz"/>
        <w:spacing w:line="360" w:lineRule="auto"/>
        <w:rPr>
          <w:rFonts w:ascii="Times New Roman" w:hAnsi="Times New Roman" w:cs="Times New Roman"/>
          <w:sz w:val="24"/>
        </w:rPr>
      </w:pPr>
      <w:r>
        <w:rPr>
          <w:rFonts w:ascii="Times New Roman" w:hAnsi="Times New Roman" w:cs="Times New Roman"/>
          <w:sz w:val="24"/>
        </w:rPr>
        <w:t xml:space="preserve">2.3 </w:t>
      </w:r>
      <w:r>
        <w:rPr>
          <w:rFonts w:ascii="Times New Roman" w:hAnsi="Times New Roman" w:cs="Times New Roman"/>
          <w:sz w:val="24"/>
        </w:rPr>
        <w:tab/>
      </w:r>
      <w:r>
        <w:rPr>
          <w:rFonts w:ascii="Times New Roman" w:hAnsi="Times New Roman" w:cs="Times New Roman"/>
          <w:sz w:val="24"/>
          <w:highlight w:val="yellow"/>
        </w:rPr>
        <w:t>Online Misogynie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w:t>
      </w:r>
    </w:p>
    <w:p>
      <w:pPr>
        <w:pStyle w:val="Listenabsatz"/>
        <w:spacing w:line="360" w:lineRule="auto"/>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r>
      <w:r>
        <w:rPr>
          <w:rFonts w:ascii="Times New Roman" w:hAnsi="Times New Roman" w:cs="Times New Roman"/>
          <w:sz w:val="24"/>
          <w:highlight w:val="yellow"/>
        </w:rPr>
        <w:t>Misandrie als Antwort auf Misogynie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w:t>
      </w:r>
    </w:p>
    <w:p>
      <w:pPr>
        <w:pStyle w:val="Listenabsatz"/>
        <w:spacing w:line="360" w:lineRule="auto"/>
        <w:rPr>
          <w:rFonts w:ascii="Times New Roman" w:hAnsi="Times New Roman" w:cs="Times New Roman"/>
          <w:sz w:val="16"/>
          <w:szCs w:val="14"/>
        </w:rPr>
      </w:pPr>
    </w:p>
    <w:p>
      <w:pPr>
        <w:pStyle w:val="Listenabsatz"/>
        <w:numPr>
          <w:ilvl w:val="0"/>
          <w:numId w:val="6"/>
        </w:numPr>
        <w:spacing w:line="360" w:lineRule="auto"/>
        <w:rPr>
          <w:rFonts w:ascii="Times New Roman" w:hAnsi="Times New Roman" w:cs="Times New Roman"/>
          <w:b/>
          <w:bCs/>
          <w:sz w:val="24"/>
        </w:rPr>
      </w:pPr>
      <w:r>
        <w:rPr>
          <w:rFonts w:ascii="Times New Roman" w:hAnsi="Times New Roman" w:cs="Times New Roman"/>
          <w:b/>
          <w:bCs/>
          <w:sz w:val="24"/>
        </w:rPr>
        <w:t>Theorie des Cyberfeminismus</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00</w:t>
      </w:r>
    </w:p>
    <w:p>
      <w:pPr>
        <w:pStyle w:val="Listenabsatz"/>
        <w:spacing w:line="360" w:lineRule="auto"/>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z w:val="24"/>
        </w:rPr>
        <w:tab/>
      </w:r>
      <w:r>
        <w:rPr>
          <w:rFonts w:ascii="Times New Roman" w:hAnsi="Times New Roman" w:cs="Times New Roman"/>
          <w:sz w:val="24"/>
          <w:highlight w:val="yellow"/>
        </w:rPr>
        <w:t>Entstehung in den 1990er Jahren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w:t>
      </w:r>
    </w:p>
    <w:p>
      <w:pPr>
        <w:pStyle w:val="Listenabsatz"/>
        <w:spacing w:line="360" w:lineRule="auto"/>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r>
      <w:r>
        <w:rPr>
          <w:rFonts w:ascii="Times New Roman" w:hAnsi="Times New Roman" w:cs="Times New Roman"/>
          <w:sz w:val="24"/>
          <w:highlight w:val="yellow"/>
        </w:rPr>
        <w:t>Cyberfeminismus 2.0 in den 2010er Jahren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w:t>
      </w:r>
    </w:p>
    <w:p>
      <w:pPr>
        <w:pStyle w:val="Listenabsatz"/>
        <w:spacing w:line="360" w:lineRule="auto"/>
        <w:rPr>
          <w:rFonts w:ascii="Times New Roman" w:hAnsi="Times New Roman" w:cs="Times New Roman"/>
          <w:sz w:val="24"/>
          <w:lang w:val="en-US"/>
        </w:rPr>
      </w:pPr>
      <w:r>
        <w:rPr>
          <w:rFonts w:ascii="Times New Roman" w:hAnsi="Times New Roman" w:cs="Times New Roman"/>
          <w:sz w:val="24"/>
          <w:lang w:val="en-US"/>
        </w:rPr>
        <w:t>3.3</w:t>
      </w:r>
      <w:r>
        <w:rPr>
          <w:rFonts w:ascii="Times New Roman" w:hAnsi="Times New Roman" w:cs="Times New Roman"/>
          <w:sz w:val="24"/>
          <w:lang w:val="en-US"/>
        </w:rPr>
        <w:tab/>
      </w:r>
      <w:r>
        <w:rPr>
          <w:rFonts w:ascii="Times New Roman" w:hAnsi="Times New Roman" w:cs="Times New Roman"/>
          <w:sz w:val="24"/>
          <w:highlight w:val="yellow"/>
          <w:lang w:val="en-US"/>
        </w:rPr>
        <w:t>Social Media und Hate Speech</w:t>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00</w:t>
      </w:r>
    </w:p>
    <w:p>
      <w:pPr>
        <w:pStyle w:val="Listenabsatz"/>
        <w:spacing w:line="360" w:lineRule="auto"/>
        <w:rPr>
          <w:rFonts w:ascii="Times New Roman" w:hAnsi="Times New Roman" w:cs="Times New Roman"/>
          <w:sz w:val="16"/>
          <w:szCs w:val="14"/>
          <w:lang w:val="en-US"/>
        </w:rPr>
      </w:pPr>
    </w:p>
    <w:p>
      <w:pPr>
        <w:pStyle w:val="Listenabsatz"/>
        <w:numPr>
          <w:ilvl w:val="0"/>
          <w:numId w:val="6"/>
        </w:numPr>
        <w:spacing w:line="360" w:lineRule="auto"/>
        <w:rPr>
          <w:rFonts w:ascii="Times New Roman" w:hAnsi="Times New Roman" w:cs="Times New Roman"/>
          <w:b/>
          <w:bCs/>
          <w:sz w:val="24"/>
        </w:rPr>
      </w:pPr>
      <w:r>
        <w:rPr>
          <w:rFonts w:ascii="Times New Roman" w:hAnsi="Times New Roman" w:cs="Times New Roman"/>
          <w:b/>
          <w:bCs/>
          <w:sz w:val="24"/>
        </w:rPr>
        <w:t>Wandel des Feminismus‘ in Südkorea</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00</w:t>
      </w:r>
    </w:p>
    <w:p>
      <w:pPr>
        <w:pStyle w:val="Listenabsatz"/>
        <w:spacing w:line="360" w:lineRule="auto"/>
        <w:rPr>
          <w:rFonts w:ascii="Times New Roman" w:hAnsi="Times New Roman" w:cs="Times New Roman"/>
          <w:sz w:val="24"/>
        </w:rPr>
      </w:pPr>
      <w:r>
        <w:rPr>
          <w:rFonts w:ascii="Times New Roman" w:hAnsi="Times New Roman" w:cs="Times New Roman"/>
          <w:sz w:val="24"/>
        </w:rPr>
        <w:t>4.1</w:t>
      </w:r>
      <w:r>
        <w:rPr>
          <w:rFonts w:ascii="Times New Roman" w:hAnsi="Times New Roman" w:cs="Times New Roman"/>
          <w:sz w:val="24"/>
        </w:rPr>
        <w:tab/>
        <w:t>Marxistischer Feminismus in den 1970-1990er Jahren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w:t>
      </w:r>
    </w:p>
    <w:p>
      <w:pPr>
        <w:pStyle w:val="Listenabsatz"/>
        <w:spacing w:line="360" w:lineRule="auto"/>
        <w:rPr>
          <w:rFonts w:ascii="Times New Roman" w:hAnsi="Times New Roman" w:cs="Times New Roman"/>
          <w:sz w:val="24"/>
        </w:rPr>
      </w:pPr>
      <w:r>
        <w:rPr>
          <w:rFonts w:ascii="Times New Roman" w:hAnsi="Times New Roman" w:cs="Times New Roman"/>
          <w:sz w:val="24"/>
        </w:rPr>
        <w:t>4.2</w:t>
      </w:r>
      <w:r>
        <w:rPr>
          <w:rFonts w:ascii="Times New Roman" w:hAnsi="Times New Roman" w:cs="Times New Roman"/>
          <w:sz w:val="24"/>
        </w:rPr>
        <w:tab/>
        <w:t>Post-Feminismus in den 2000er Jahren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w:t>
      </w:r>
    </w:p>
    <w:p>
      <w:pPr>
        <w:pStyle w:val="Listenabsatz"/>
        <w:spacing w:line="360" w:lineRule="auto"/>
        <w:rPr>
          <w:rFonts w:ascii="Times New Roman" w:hAnsi="Times New Roman" w:cs="Times New Roman"/>
          <w:sz w:val="24"/>
        </w:rPr>
      </w:pPr>
      <w:r>
        <w:rPr>
          <w:rFonts w:ascii="Times New Roman" w:hAnsi="Times New Roman" w:cs="Times New Roman"/>
          <w:sz w:val="24"/>
        </w:rPr>
        <w:t>4.3</w:t>
      </w:r>
      <w:r>
        <w:rPr>
          <w:rFonts w:ascii="Times New Roman" w:hAnsi="Times New Roman" w:cs="Times New Roman"/>
          <w:sz w:val="24"/>
        </w:rPr>
        <w:tab/>
        <w:t>Feministischer Reboot durch Trostfrauen-Debatte 2015</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w:t>
      </w:r>
    </w:p>
    <w:p>
      <w:pPr>
        <w:pStyle w:val="Listenabsatz"/>
        <w:spacing w:line="360" w:lineRule="auto"/>
        <w:rPr>
          <w:rFonts w:ascii="Times New Roman" w:hAnsi="Times New Roman" w:cs="Times New Roman"/>
          <w:sz w:val="24"/>
        </w:rPr>
      </w:pPr>
      <w:r>
        <w:rPr>
          <w:rFonts w:ascii="Times New Roman" w:hAnsi="Times New Roman" w:cs="Times New Roman"/>
          <w:sz w:val="24"/>
        </w:rPr>
        <w:t>4.4</w:t>
      </w:r>
      <w:r>
        <w:rPr>
          <w:rFonts w:ascii="Times New Roman" w:hAnsi="Times New Roman" w:cs="Times New Roman"/>
          <w:sz w:val="24"/>
        </w:rPr>
        <w:tab/>
        <w:t>Femizid in Gangnam 2016</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w:t>
      </w:r>
    </w:p>
    <w:p>
      <w:pPr>
        <w:pStyle w:val="Listenabsatz"/>
        <w:spacing w:line="360" w:lineRule="auto"/>
        <w:rPr>
          <w:rFonts w:ascii="Times New Roman" w:hAnsi="Times New Roman" w:cs="Times New Roman"/>
          <w:sz w:val="24"/>
        </w:rPr>
      </w:pPr>
      <w:r>
        <w:rPr>
          <w:rFonts w:ascii="Times New Roman" w:hAnsi="Times New Roman" w:cs="Times New Roman"/>
          <w:sz w:val="24"/>
        </w:rPr>
        <w:t>4.5</w:t>
      </w:r>
      <w:r>
        <w:rPr>
          <w:rFonts w:ascii="Times New Roman" w:hAnsi="Times New Roman" w:cs="Times New Roman"/>
          <w:sz w:val="24"/>
        </w:rPr>
        <w:tab/>
        <w:t>Aktuelle Konflikte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w:t>
      </w:r>
    </w:p>
    <w:p>
      <w:pPr>
        <w:pStyle w:val="Listenabsatz"/>
        <w:spacing w:line="360" w:lineRule="auto"/>
        <w:rPr>
          <w:rFonts w:ascii="Times New Roman" w:hAnsi="Times New Roman" w:cs="Times New Roman"/>
          <w:sz w:val="16"/>
          <w:szCs w:val="14"/>
        </w:rPr>
      </w:pPr>
    </w:p>
    <w:p>
      <w:pPr>
        <w:pStyle w:val="Listenabsatz"/>
        <w:numPr>
          <w:ilvl w:val="0"/>
          <w:numId w:val="6"/>
        </w:numPr>
        <w:spacing w:line="360" w:lineRule="auto"/>
        <w:rPr>
          <w:rFonts w:ascii="Times New Roman" w:hAnsi="Times New Roman" w:cs="Times New Roman"/>
          <w:b/>
          <w:bCs/>
          <w:sz w:val="24"/>
        </w:rPr>
      </w:pPr>
      <w:r>
        <w:rPr>
          <w:rFonts w:ascii="Times New Roman" w:hAnsi="Times New Roman" w:cs="Times New Roman"/>
          <w:b/>
          <w:bCs/>
          <w:sz w:val="24"/>
        </w:rPr>
        <w:t>Online-Aktivismus in Südkorea</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00</w:t>
      </w:r>
    </w:p>
    <w:p>
      <w:pPr>
        <w:pStyle w:val="Listenabsatz"/>
        <w:spacing w:line="360" w:lineRule="auto"/>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Ilbe Storehouse und misogyne Augmentation der Realität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w:t>
      </w:r>
    </w:p>
    <w:p>
      <w:pPr>
        <w:pStyle w:val="Listenabsatz"/>
        <w:spacing w:line="360" w:lineRule="auto"/>
        <w:rPr>
          <w:rFonts w:ascii="Times New Roman" w:hAnsi="Times New Roman" w:cs="Times New Roman"/>
          <w:sz w:val="24"/>
        </w:rPr>
      </w:pPr>
      <w:r>
        <w:rPr>
          <w:rFonts w:ascii="Times New Roman" w:hAnsi="Times New Roman" w:cs="Times New Roman"/>
          <w:sz w:val="24"/>
        </w:rPr>
        <w:t>5.2</w:t>
      </w:r>
      <w:r>
        <w:rPr>
          <w:rFonts w:ascii="Times New Roman" w:hAnsi="Times New Roman" w:cs="Times New Roman"/>
          <w:sz w:val="24"/>
        </w:rPr>
        <w:tab/>
        <w:t>Megalia, Hate Speech Imitation und Mirroring</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w:t>
      </w:r>
    </w:p>
    <w:p>
      <w:pPr>
        <w:pStyle w:val="Listenabsatz"/>
        <w:spacing w:line="360" w:lineRule="auto"/>
        <w:rPr>
          <w:rFonts w:ascii="Times New Roman" w:hAnsi="Times New Roman" w:cs="Times New Roman"/>
          <w:sz w:val="24"/>
        </w:rPr>
      </w:pPr>
      <w:r>
        <w:rPr>
          <w:rFonts w:ascii="Times New Roman" w:hAnsi="Times New Roman" w:cs="Times New Roman"/>
          <w:sz w:val="24"/>
        </w:rPr>
        <w:t>5.3</w:t>
      </w:r>
      <w:r>
        <w:rPr>
          <w:rFonts w:ascii="Times New Roman" w:hAnsi="Times New Roman" w:cs="Times New Roman"/>
          <w:sz w:val="24"/>
        </w:rPr>
        <w:tab/>
        <w:t>Megalias Offline-Aktitiväten und Erfolge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w:t>
      </w:r>
    </w:p>
    <w:p>
      <w:pPr>
        <w:pStyle w:val="Listenabsatz"/>
        <w:spacing w:line="360" w:lineRule="auto"/>
        <w:rPr>
          <w:rFonts w:ascii="Times New Roman" w:hAnsi="Times New Roman" w:cs="Times New Roman"/>
          <w:sz w:val="24"/>
        </w:rPr>
      </w:pPr>
      <w:r>
        <w:rPr>
          <w:rFonts w:ascii="Times New Roman" w:hAnsi="Times New Roman" w:cs="Times New Roman"/>
          <w:sz w:val="24"/>
        </w:rPr>
        <w:t>5.4</w:t>
      </w:r>
      <w:r>
        <w:rPr>
          <w:rFonts w:ascii="Times New Roman" w:hAnsi="Times New Roman" w:cs="Times New Roman"/>
          <w:sz w:val="24"/>
        </w:rPr>
        <w:tab/>
        <w:t>Misandrie-Kontroverse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w:t>
      </w:r>
    </w:p>
    <w:p>
      <w:pPr>
        <w:pStyle w:val="Listenabsatz"/>
        <w:spacing w:line="360" w:lineRule="auto"/>
        <w:rPr>
          <w:rFonts w:ascii="Times New Roman" w:hAnsi="Times New Roman" w:cs="Times New Roman"/>
          <w:sz w:val="16"/>
          <w:szCs w:val="14"/>
        </w:rPr>
      </w:pPr>
    </w:p>
    <w:p>
      <w:pPr>
        <w:pStyle w:val="Listenabsatz"/>
        <w:numPr>
          <w:ilvl w:val="0"/>
          <w:numId w:val="6"/>
        </w:numPr>
        <w:spacing w:line="360" w:lineRule="auto"/>
        <w:rPr>
          <w:rFonts w:ascii="Times New Roman" w:hAnsi="Times New Roman" w:cs="Times New Roman"/>
          <w:b/>
          <w:bCs/>
          <w:sz w:val="24"/>
        </w:rPr>
      </w:pPr>
      <w:r>
        <w:rPr>
          <w:rFonts w:ascii="Times New Roman" w:hAnsi="Times New Roman" w:cs="Times New Roman"/>
          <w:b/>
          <w:bCs/>
          <w:sz w:val="24"/>
        </w:rPr>
        <w:t>Fazit</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00</w:t>
      </w:r>
    </w:p>
    <w:p>
      <w:pPr>
        <w:spacing w:line="360" w:lineRule="auto"/>
        <w:rPr>
          <w:rFonts w:ascii="Times New Roman" w:hAnsi="Times New Roman" w:cs="Times New Roman"/>
          <w:sz w:val="12"/>
          <w:szCs w:val="10"/>
        </w:rPr>
      </w:pPr>
    </w:p>
    <w:p>
      <w:pPr>
        <w:spacing w:line="360" w:lineRule="auto"/>
        <w:rPr>
          <w:rFonts w:ascii="Times New Roman" w:hAnsi="Times New Roman" w:cs="Times New Roman"/>
          <w:sz w:val="24"/>
        </w:rPr>
      </w:pPr>
      <w:r>
        <w:rPr>
          <w:rFonts w:ascii="Times New Roman" w:hAnsi="Times New Roman" w:cs="Times New Roman"/>
          <w:sz w:val="24"/>
        </w:rPr>
        <w:t>Literaturverzeichnis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w:t>
      </w:r>
    </w:p>
    <w:p>
      <w:pPr>
        <w:spacing w:line="360" w:lineRule="auto"/>
        <w:ind w:left="437"/>
        <w:jc w:val="both"/>
        <w:rPr>
          <w:rFonts w:ascii="Times New Roman" w:hAnsi="Times New Roman" w:cs="Times New Roman"/>
        </w:rPr>
      </w:pPr>
    </w:p>
    <w:p>
      <w:pPr>
        <w:spacing w:line="360" w:lineRule="auto"/>
        <w:rPr>
          <w:rFonts w:ascii="Times New Roman" w:hAnsi="Times New Roman" w:cs="Times New Roman"/>
          <w:b/>
          <w:sz w:val="24"/>
        </w:rPr>
      </w:pPr>
      <w:r>
        <w:rPr>
          <w:rFonts w:ascii="Times New Roman" w:hAnsi="Times New Roman" w:cs="Times New Roman"/>
          <w:b/>
          <w:sz w:val="24"/>
        </w:rPr>
        <w:lastRenderedPageBreak/>
        <w:t>1. Einleitung</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Blickt man in der Weltgeschichte zurück, erkennt man die immer wiederkehrende Relevanz und Dringlichkeit der Theorie des Feminismus‘. Besonders in der heutigen Zeit der fortschreitenden Globalisierung und Digitalisierung scheint es einen neuen Trend im Feminismus zu geben, welcher in den 1990er Jahren als „Cyberfeminismus“ bezeichnet wurde. Dieser Begriff umfasst die Verbindung zwischen Feminismus, Technologie, Internet und Cyberspace. Formen dieser Verbindung sind auch feministische Online-Aktivitäten, wie das Betreiben von Online-Portalen oder das Organisieren von Online- und/oder Offline-Aktionen. Zu einem der bekanntesten Beispiele der letzten Jahre gehört auch die #metoo-Bewegung</w:t>
      </w:r>
      <w:r>
        <w:rPr>
          <w:rFonts w:ascii="Times New Roman" w:hAnsi="Times New Roman" w:cs="Times New Roman" w:hint="eastAsia"/>
          <w:sz w:val="24"/>
          <w:szCs w:val="24"/>
        </w:rPr>
        <w:t>,</w:t>
      </w:r>
      <w:r>
        <w:rPr>
          <w:rFonts w:ascii="Times New Roman" w:hAnsi="Times New Roman" w:cs="Times New Roman"/>
          <w:sz w:val="24"/>
          <w:szCs w:val="24"/>
        </w:rPr>
        <w:t xml:space="preserve"> deren Hashtag auf Sozialen Netzwerken geteilt wurde. Auch in Südkorea (im Folgenden auch nur Korea genannt) sind cyberfeministische Phänomene seit 2015 weit vertreten und Onlineportale wie </w:t>
      </w:r>
      <w:r>
        <w:rPr>
          <w:rFonts w:ascii="Times New Roman" w:hAnsi="Times New Roman" w:cs="Times New Roman"/>
          <w:i/>
          <w:iCs/>
          <w:sz w:val="24"/>
          <w:szCs w:val="24"/>
        </w:rPr>
        <w:t>Megalia</w:t>
      </w:r>
      <w:r>
        <w:rPr>
          <w:rFonts w:ascii="Times New Roman" w:hAnsi="Times New Roman" w:cs="Times New Roman"/>
          <w:sz w:val="24"/>
          <w:szCs w:val="24"/>
        </w:rPr>
        <w:t xml:space="preserve"> werden aufgrund ihrer ‚lautstarken‘ Reaktion auf aggressive, misogyne Kommentare stark diskutiert, sogar als misandrisch bezeichnet.</w:t>
      </w:r>
    </w:p>
    <w:p>
      <w:pPr>
        <w:spacing w:line="360" w:lineRule="auto"/>
        <w:rPr>
          <w:rFonts w:ascii="Times New Roman" w:hAnsi="Times New Roman" w:cs="Times New Roman"/>
          <w:b/>
          <w:sz w:val="24"/>
        </w:rPr>
      </w:pPr>
    </w:p>
    <w:p>
      <w:pPr>
        <w:spacing w:line="360" w:lineRule="auto"/>
        <w:rPr>
          <w:rFonts w:ascii="Times New Roman" w:hAnsi="Times New Roman" w:cs="Times New Roman"/>
          <w:b/>
          <w:sz w:val="24"/>
        </w:rPr>
      </w:pPr>
      <w:r>
        <w:rPr>
          <w:rFonts w:ascii="Times New Roman" w:hAnsi="Times New Roman" w:cs="Times New Roman"/>
          <w:b/>
          <w:sz w:val="24"/>
        </w:rPr>
        <w:t>1.1 Relevanz des Themas</w:t>
      </w:r>
    </w:p>
    <w:p>
      <w:pPr>
        <w:spacing w:line="360" w:lineRule="auto"/>
        <w:jc w:val="both"/>
        <w:rPr>
          <w:rFonts w:ascii="Times New Roman" w:hAnsi="Times New Roman" w:cs="Times New Roman"/>
          <w:sz w:val="24"/>
        </w:rPr>
      </w:pPr>
      <w:r>
        <w:rPr>
          <w:rFonts w:ascii="Times New Roman" w:hAnsi="Times New Roman" w:cs="Times New Roman"/>
          <w:sz w:val="24"/>
        </w:rPr>
        <w:t xml:space="preserve">In den letzten Jahren werden in den südkoreanischen Medien immer mehr Berichte bezüglich dem Geschlechterungleichgewicht wie dem Gender Pay Gap, sexuelle Übergriffe auf Frauen oder feministische Bewegungen veröffentlicht. Besonders aufsehenerregende oder brutale Ereignisse verstärken dabei die andauernde Geschlechter-Debatte um Misogynie und Misandrie und scheinen ‚Öl in das Feuer zu gießen‘. Stellvertretend für solche Ereignisse sind u.a. der Mord an einer Frau im Seouler Viertel Gangnam, welcher im Abschnitt 4.4 näher beschrieben wird, die stark besuchten, gegen versteckte Kameras in u.a. öffentlichen Toiletten protestierenden Demonstrationen unter dem Banner „I am not your porn“, und der Skandal um eine Gruppe populärer Sänger und Entertainer, welcher seit Januar 2019 die Medien dominiert. </w:t>
      </w:r>
    </w:p>
    <w:p>
      <w:pPr>
        <w:spacing w:line="360" w:lineRule="auto"/>
        <w:ind w:firstLine="567"/>
        <w:jc w:val="both"/>
        <w:rPr>
          <w:rFonts w:ascii="Times New Roman" w:hAnsi="Times New Roman" w:cs="Times New Roman"/>
          <w:sz w:val="24"/>
        </w:rPr>
      </w:pPr>
      <w:r>
        <w:rPr>
          <w:rFonts w:ascii="Times New Roman" w:hAnsi="Times New Roman" w:cs="Times New Roman"/>
          <w:sz w:val="24"/>
        </w:rPr>
        <w:t>Im Januar 2019 berichten Medien über einen gewalttätigen Übergriff auf einen Mann in dem Nachtclub Burning Sun, welcher durch den Popsänger Seungri (</w:t>
      </w:r>
      <w:r>
        <w:rPr>
          <w:rFonts w:asciiTheme="minorEastAsia" w:hAnsiTheme="minorEastAsia" w:cs="Times New Roman" w:hint="eastAsia"/>
          <w:sz w:val="20"/>
          <w:szCs w:val="18"/>
        </w:rPr>
        <w:t>승리</w:t>
      </w:r>
      <w:r>
        <w:rPr>
          <w:rFonts w:ascii="YDIYGO320" w:eastAsia="YDIYGO320" w:hAnsi="Times New Roman" w:cs="Times New Roman" w:hint="eastAsia"/>
          <w:sz w:val="24"/>
        </w:rPr>
        <w:t xml:space="preserve">, </w:t>
      </w:r>
      <w:r>
        <w:rPr>
          <w:rFonts w:asciiTheme="minorEastAsia" w:hAnsiTheme="minorEastAsia" w:cs="Times New Roman" w:hint="eastAsia"/>
          <w:sz w:val="20"/>
          <w:szCs w:val="18"/>
        </w:rPr>
        <w:t>이승현</w:t>
      </w:r>
      <w:r>
        <w:rPr>
          <w:rFonts w:ascii="Times New Roman" w:hAnsi="Times New Roman" w:cs="Times New Roman"/>
          <w:sz w:val="24"/>
        </w:rPr>
        <w:t>Lee Seung-hyun [Yi Sŭnghyŏn]) als Investor großen Bekanntheitsgrad erlangt hat. Nach konträren Aussagen des Verletzten und den Repräsentanten des Clubs über den Vorfall zog der Fall noch größere Kreise. Besonders schlagzeilenträchtig waren die Anschuldigungen an den Club und später auch an den Sänger Seungri, innerhalb des Clubs mit Drogen zu handeln, Vermittlung von Prostitution, weibliche Gäste unter Drogen zu setzen und sexuellen Missbrauch zu initiieren und verschleiern. Die Polizei war ebenso informiert wie involviert und zeigte die noch hohe Korruption in Südkorea (</w:t>
      </w:r>
      <w:r>
        <w:rPr>
          <w:rFonts w:ascii="Times New Roman" w:hAnsi="Times New Roman" w:cs="Times New Roman"/>
          <w:smallCaps/>
          <w:sz w:val="24"/>
        </w:rPr>
        <w:t>Saeji</w:t>
      </w:r>
      <w:r>
        <w:rPr>
          <w:rFonts w:ascii="Times New Roman" w:hAnsi="Times New Roman" w:cs="Times New Roman"/>
          <w:sz w:val="24"/>
        </w:rPr>
        <w:t xml:space="preserve"> 13.04.2019). Im Zuge der Ermittlungen wurden Textnachrichten veröffentlicht von nicht nur dem Sänger Seungri, sondern weiterer in Korea </w:t>
      </w:r>
      <w:r>
        <w:rPr>
          <w:rFonts w:ascii="Times New Roman" w:hAnsi="Times New Roman" w:cs="Times New Roman"/>
          <w:sz w:val="24"/>
        </w:rPr>
        <w:lastRenderedPageBreak/>
        <w:t>sehr bekannter Sänger wie u.a. Jung Joon-young [</w:t>
      </w:r>
      <w:r>
        <w:rPr>
          <w:rFonts w:asciiTheme="minorEastAsia" w:hAnsiTheme="minorEastAsia" w:cs="Times New Roman" w:hint="eastAsia"/>
          <w:sz w:val="20"/>
          <w:szCs w:val="18"/>
        </w:rPr>
        <w:t>정준영</w:t>
      </w:r>
      <w:r>
        <w:rPr>
          <w:rFonts w:ascii="Times New Roman" w:hAnsi="Times New Roman" w:cs="Times New Roman" w:hint="eastAsia"/>
          <w:sz w:val="24"/>
        </w:rPr>
        <w:t xml:space="preserve"> </w:t>
      </w:r>
      <w:r>
        <w:rPr>
          <w:rFonts w:ascii="Times New Roman" w:hAnsi="Times New Roman" w:cs="Times New Roman"/>
          <w:sz w:val="24"/>
        </w:rPr>
        <w:t>Chŏng Chunyŏng] und Choi Jong-hoon [</w:t>
      </w:r>
      <w:r>
        <w:rPr>
          <w:rFonts w:asciiTheme="minorEastAsia" w:hAnsiTheme="minorEastAsia" w:cs="Times New Roman" w:hint="eastAsia"/>
          <w:sz w:val="20"/>
          <w:szCs w:val="18"/>
        </w:rPr>
        <w:t>최종훈</w:t>
      </w:r>
      <w:r>
        <w:rPr>
          <w:rFonts w:ascii="Times New Roman" w:hAnsi="Times New Roman" w:cs="Times New Roman" w:hint="eastAsia"/>
          <w:sz w:val="24"/>
        </w:rPr>
        <w:t xml:space="preserve"> </w:t>
      </w:r>
      <w:r>
        <w:rPr>
          <w:rFonts w:ascii="Times New Roman" w:hAnsi="Times New Roman" w:cs="Times New Roman"/>
          <w:sz w:val="24"/>
        </w:rPr>
        <w:t>Ch'oe Chonghun]. Die beiden Genannten werden auch bezichtigt eine Frau vergewaltigt zu haben. Innerhalb der Nachrichten wurde in abwertender Manier Frauen, Sex und Vergewaltigung besprochen, sowie heimlich aufgenommene und explizite Fotos von Frauen und versteckt gefilmte Sexaufnahmen weitergeleitet. Die meisten Frauen wurden erst während der Ermittlungen auf die Existenz von Aufnahmen hingewiesen (</w:t>
      </w:r>
      <w:r>
        <w:rPr>
          <w:rFonts w:ascii="Times New Roman" w:hAnsi="Times New Roman" w:cs="Times New Roman"/>
          <w:smallCaps/>
          <w:sz w:val="24"/>
        </w:rPr>
        <w:t>Saeji</w:t>
      </w:r>
      <w:r>
        <w:rPr>
          <w:rFonts w:ascii="Times New Roman" w:hAnsi="Times New Roman" w:cs="Times New Roman"/>
          <w:sz w:val="24"/>
        </w:rPr>
        <w:t xml:space="preserve"> 13.04.2019). Seungri ist mittlerweile u.a. aufgrund des Verdachts auf Prostitution, Handel mit Prostitution und Sexualverbrechen der Staatsanwaltschaft übergeben worden. Ein Urteil steht noch aus (</w:t>
      </w:r>
      <w:r>
        <w:rPr>
          <w:rFonts w:ascii="Times New Roman" w:hAnsi="Times New Roman" w:cs="Times New Roman"/>
          <w:smallCaps/>
          <w:sz w:val="24"/>
        </w:rPr>
        <w:t>Kim</w:t>
      </w:r>
      <w:r>
        <w:rPr>
          <w:rFonts w:ascii="Times New Roman" w:hAnsi="Times New Roman" w:cs="Times New Roman"/>
          <w:sz w:val="24"/>
        </w:rPr>
        <w:t xml:space="preserve"> 25.06.2019). Jung und Choi bestätigten das Filmen von Frauen und Verbreiten der Aufnahmen. Die Vergewaltigungsvorwürfe weisen Beide zurück. Auch hier ist das Urteil noch offen (</w:t>
      </w:r>
      <w:r>
        <w:rPr>
          <w:rFonts w:ascii="Times New Roman" w:hAnsi="Times New Roman" w:cs="Times New Roman"/>
          <w:i/>
          <w:iCs/>
          <w:sz w:val="24"/>
        </w:rPr>
        <w:t xml:space="preserve">The Korea Herald </w:t>
      </w:r>
      <w:r>
        <w:rPr>
          <w:rFonts w:ascii="Times New Roman" w:hAnsi="Times New Roman" w:cs="Times New Roman"/>
          <w:sz w:val="24"/>
        </w:rPr>
        <w:t>27.06.2019).</w:t>
      </w:r>
    </w:p>
    <w:p>
      <w:pPr>
        <w:spacing w:line="360" w:lineRule="auto"/>
        <w:ind w:firstLine="567"/>
        <w:jc w:val="both"/>
        <w:rPr>
          <w:rFonts w:ascii="Times New Roman" w:hAnsi="Times New Roman" w:cs="Times New Roman"/>
          <w:sz w:val="24"/>
        </w:rPr>
      </w:pPr>
      <w:r>
        <w:rPr>
          <w:rFonts w:ascii="Times New Roman" w:hAnsi="Times New Roman" w:cs="Times New Roman"/>
          <w:sz w:val="24"/>
        </w:rPr>
        <w:t>Dieser Skandal steht exemplarisch für gleich mehrere schwerwiegende Probleme, die derzeit Südkoreas Gesellschaft belasten und heutzutage verstärkt innerhalb des öffentlichen, wie wissenschaftlichen Diskurses in Hinsicht auf Frauen und/oder Feminismus thematisiert werden: Geschlechterungleichheit, Objektifizierung der Frau, physische und digitale Sexual</w:t>
      </w:r>
      <w:r>
        <w:rPr>
          <w:rFonts w:ascii="Times New Roman" w:hAnsi="Times New Roman" w:cs="Times New Roman"/>
          <w:sz w:val="24"/>
        </w:rPr>
        <w:softHyphen/>
        <w:t>verbrechen gegen Frauen. Gleichzeitig zeigt er, dass Misogynie in dem Land ein ernstzunehmender Zustand ist. Vorangegangene Skandale wie ein misogynes Hassverbrechen in Gangnam im Jahr zuvor entfachen oft die Diskussion über Misogynie neu, machen aber auch deutlich, dass Südkorea von einem erfolgreichen Entgegenwirken oder einer Lösung der Misogynie-Debatte noch weit entfernt ist. Misogynie bleibt damit weiterhin ein herausstechendes, fest verankertes Problem der südkoreanischen Gesellschaft.</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Südkoreas Affinität zur Technologie und Digitalisierung, sowie neue feministische Trends sind ausschlaggebende Motive, um den Cyberfeminismus des Landes zu untersuchen und innerhalb der relevanten Online-Aktivitäten herauszufinden wie auf Misogynie reagiert wird. Besonders erwähnenswert ist dabei das 2015 gegründete Online-Portal Megalia. Dieses anfangs kurzweilig angedachte Forum entwickelte sich zu einer radikal feministischen Misogynie-Gegenbewegung, die frauenfeindliche Redensweisen auf Männer überträgt und für eigene Zwecke nutzt. Dabei wird die Kritik laut, Megalia würde statt Anti-Misogynie Misandrie verbreiten. </w:t>
      </w:r>
    </w:p>
    <w:p>
      <w:pPr>
        <w:spacing w:line="360" w:lineRule="auto"/>
        <w:ind w:firstLine="567"/>
        <w:jc w:val="both"/>
        <w:rPr>
          <w:rFonts w:ascii="Times New Roman" w:hAnsi="Times New Roman" w:cs="Times New Roman"/>
          <w:sz w:val="24"/>
        </w:rPr>
      </w:pPr>
      <w:r>
        <w:rPr>
          <w:rFonts w:ascii="Times New Roman" w:hAnsi="Times New Roman" w:cs="Times New Roman"/>
          <w:sz w:val="24"/>
        </w:rPr>
        <w:t>Aufgrund seiner Aktualität und Präsenz ist das Thema des Cyberfeminismus innerhalb einer Gesellschaft, die augenscheinlich zwischen Misogynie und Misandrie schwankt, ein wichtiger, vergleichsweise neuer Forschungsbereich. Es kann auch davon ausgegangen werden, dass das Thema in den nächsten Jahren weiterhin ein relevanter Teil des gesellschaftlichen Diskurses bleiben wird.</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 Aufbau der Arbeit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Ziel dieser Arbeit ist es, die Entwicklung und den Status Quo des (Cyber-) Feminismus‘ in Südkorea im Rahmen der in Korea häufig verwendeten Begriffe von „Misogynie“ und „Misandrie“ zu untersuchen. Das seit 2015 bestehende Onlineportal Megalia stellt dabei einen idealen Untersuchungsgegenstand als derzeit größter Online-Aktivismus innerhalb des südkoreanischen Cyberfeminismus‘ dar.</w:t>
      </w:r>
    </w:p>
    <w:p>
      <w:pPr>
        <w:spacing w:line="360" w:lineRule="auto"/>
        <w:ind w:firstLine="567"/>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Die vorliegende Thesis gliedert sich in insgesamt sechs Kapitel.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Das erste Kapitel fungiert als Einführung in das Thema und beschreibt die Relevanz des Themas im heutigen Kontext (Abschnitt 1.1). Auch wenn die Philosophie des Feminismus‘ natürlich schon lange in Südkorea präsent ist, scheint das Thema erst in den letzten, wenigen Jahren neuen Auftrieb gefunden zu haben. Augenscheinlich wirkt es, als hätten sich zuvor spezifische Geschlechterrollen und eher frauenfeindliche Ideale in der Gesellschaft etabliert, die erst jetzt in einem öffentlichen, digitalen Diskurs mit feministischem Kontext besprochen und aufgebrochen werden. Ein kontroverses Abkommen bezüglich der Zwangsprostituierten zur Zeit des Zweiten Weltkrieges und Kolonialzeit zwischen der Republik Korea und Japan, sowie ein medienpräsenter Mord an einer Frau sind zwei Faktoren, die auf die den Diskurs maßgeblichen Einfluss hatten. Diese neue Welle des Feminismus weist dabei nicht nur auf misogyne Online-Hetze oder Missstände in der koreanischen Gesellschaft, sondern zieht auch große Kritik nach sich, es würde gleichzeitig Misandrie verbreitet werden. Das Thema des Cyberfeminismus‘ in Südkorea ist daher aktuell und relevant. Auf diese Einführung folgt eine Beschreibung des Aufbaus der Arbeit (Abschnitt 2.2) und eine Untersuchung der Literatur- und Forschungslandschaft der jeweiligen Themenblöcke (Abschnitt 2.3).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Mit dem zweiten Kapitel beginnt der theoretische Rahmen dieser Arbeit. Dieses Kapitel behandelt die soziokulturellen Einstellungsmuster von Misogynie und Misandrie. Ausführliche Begriffserklärungen leiten das Kapitel ein (Abschnitt 2.1). Solche Definitionen sind wichtig für das spätere, einheitliche Verständnis der Arbeit. Misogynie beschreibt die Abwertung von Frauen, impliziert damit eine Aufwertung von Männern und ist theoretisch ein ausschlaggebender Teil einer patriarchalen Beziehungsstruktur. Das Äquivalent zur Misogynie ist die Misandrie, die oft auch als Antwort auf oder Konsequenz der Misogynie angesehen wird. Ein gesellschaftlicher Diskurs über Misogynie existiert ungefähr seit dem 19. Jahrhundert. Diesem folgt ein Diskurs über Misandrie im ungefähr 20. Jahrhundert. Die Moderne ist damit </w:t>
      </w:r>
      <w:r>
        <w:rPr>
          <w:rFonts w:ascii="Times New Roman" w:hAnsi="Times New Roman" w:cs="Times New Roman"/>
          <w:sz w:val="24"/>
          <w:szCs w:val="24"/>
        </w:rPr>
        <w:lastRenderedPageBreak/>
        <w:t>der zeitliche Rahmen der Untersuchung (Abschnitt 2.2). Bestimmten Theorien zufolge steht Misandrie im unmittelbaren Zusammenhang mit Misogynie und kann als direkte Folge angesehen werden. Da ein öffentliches Ansprechen misogyner Gesellschaftsprobleme bisherige, etablierte Beziehungs- und Machtgefüge augenscheinlich erstmalig hinterfragt, wird dieses als misandrisch angesehen. Zum Abschluss des Kapitels folgt also die Untersuchung dieser Theorie (2.3).</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Das dritte Kapitel beendet den theoretischen Rahmen und befasst sich mit der Philosophie des Cyberfeminismus‘. Wie eingangs erwähnt, umfasst diese Philosophie moderne Technologie, das Internet, das Cyberspace, den Umgang mit diesen drei Bereichen und Feminismus. Da sich die Theorie des Cyberfeminismus‘ im Laufe der Zeit verändert, beginnt das Kapitel mit der Entstehung, bzw. der ersten Erwähnung in den 1990er Jahren (Abschnitt 3.1). Das Cyberspace bietet digitalen Raum für eine utopische Existenz losgelöst vom Geschlecht und allen Lebensaspekten, die damit verbunden sind. Kritiker*innen sehen jedoch, dass in der Benutzung des Cyberspace‘ weiterhin Geschlecht existiert und konstituiert wird. Der Cyberfeminismus 2.0, welcher in den 2010er Jahren entsteht, fokussiert sich dagegen eher auf die Nutzung der Technologie durch Frauen und wie diese online aktiv sein können (Abschnitt 3.2). Zur heutigen Zeit spielt online vor allem Social Media eine große Rolle. Social Media und der damit verbundene Begriff von Hate Speech, also aggressiven, negativen Kommentaren, sind Gegenstand der abschließenden Untersuchung (Abschnitt 3.3).</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Anschließend ergründet das vierte Kapitel den Wandel des Feminismus‘ in Südkorea seit den 1970er Jahren. Geprägt von den Militärdiktaturen unter Park Chung-hee [</w:t>
      </w:r>
      <w:r>
        <w:rPr>
          <w:rFonts w:ascii="Times New Roman" w:hAnsi="Times New Roman" w:cs="Times New Roman" w:hint="eastAsia"/>
          <w:sz w:val="20"/>
          <w:szCs w:val="20"/>
        </w:rPr>
        <w:t>박청희</w:t>
      </w:r>
      <w:r>
        <w:rPr>
          <w:rFonts w:ascii="Times New Roman" w:hAnsi="Times New Roman" w:cs="Times New Roman" w:hint="eastAsia"/>
          <w:sz w:val="24"/>
          <w:szCs w:val="24"/>
        </w:rPr>
        <w:t xml:space="preserve"> </w:t>
      </w:r>
      <w:r>
        <w:rPr>
          <w:rFonts w:ascii="Times New Roman" w:hAnsi="Times New Roman" w:cs="Times New Roman"/>
          <w:sz w:val="24"/>
          <w:szCs w:val="24"/>
        </w:rPr>
        <w:t>Pak Chŏnghŭi] und Chun Doo-hwan [</w:t>
      </w:r>
      <w:r>
        <w:rPr>
          <w:rFonts w:ascii="Times New Roman" w:hAnsi="Times New Roman" w:cs="Times New Roman" w:hint="eastAsia"/>
          <w:sz w:val="20"/>
          <w:szCs w:val="20"/>
        </w:rPr>
        <w:t>천두환</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Chŏn Tuhwan] fordern angestellte Frauen unter dem Banner der Minjung-Bewegung bessere Arbeitsbedingungen. Weibliche Studentenbewegungen und Unterstützung für die Zwangsprostituierten aus dem Zweiten Weltkrieg prägen die Zeit. In den Jahren von 1970-1990 handelt es sich um die Phase eines marxistischen Feminismus‘ (Abschnitt 4.1). Dieser Zeit folgt einem vergleichsweisen kurzen Abschnitt des Postfeminismus‘ während der 2000er Jahre (Abschnitt 4.2), welcher einige Aspekte der vorangehenden Feminismus-Theorie herausfordert und kritisiert. Die kontroverse Vereinbarung zwischen der Republik Korea und Japan über eine finale Kompensationszahlung bezüglich der Zwangsprostituierten, genannt Trostfrauen, beendet diese Phase und löst eine neue Debatte aus (Abschnitt 4.3). Nur ein Jahr später folgt ein medienpräsenter Mord an einer Frau im Viertel Gangnam von Seoul (Abschnitt 4.4). Die letzten beiden Ereignisse prägen den gegenwärtigen Strom des neu aufblühenden, teilweise radikalen Feminismus‘ in Südkorea, </w:t>
      </w:r>
      <w:r>
        <w:rPr>
          <w:rFonts w:ascii="Times New Roman" w:hAnsi="Times New Roman" w:cs="Times New Roman"/>
          <w:sz w:val="24"/>
          <w:szCs w:val="24"/>
        </w:rPr>
        <w:lastRenderedPageBreak/>
        <w:t>welcher u.a. die Form von Megalia (</w:t>
      </w:r>
      <w:r>
        <w:rPr>
          <w:rFonts w:ascii="Times New Roman" w:hAnsi="Times New Roman" w:cs="Times New Roman" w:hint="eastAsia"/>
          <w:sz w:val="20"/>
          <w:szCs w:val="20"/>
        </w:rPr>
        <w:t>메갈리아</w:t>
      </w:r>
      <w:r>
        <w:rPr>
          <w:rFonts w:ascii="Times New Roman" w:hAnsi="Times New Roman" w:cs="Times New Roman" w:hint="eastAsia"/>
          <w:sz w:val="24"/>
          <w:szCs w:val="24"/>
        </w:rPr>
        <w:t>)</w:t>
      </w:r>
      <w:r>
        <w:rPr>
          <w:rFonts w:ascii="Times New Roman" w:hAnsi="Times New Roman" w:cs="Times New Roman"/>
          <w:sz w:val="24"/>
          <w:szCs w:val="24"/>
        </w:rPr>
        <w:t xml:space="preserve"> annimmt. Zuletzt verdeutlichen aktuellste Konflikte wie die Kontroversen um das Ministry of Gender Equality and Family, versteckte Kameras in öffentlichen Toiletten und Wohnungen, die im Internet zirkulieren und vermehrtes Teilen von „revenge porn“ im Internet, warum sich der (Cyber-) Feminismus in Südkorea derzeit so entwickelt und welche Forderungen gestellt werden (Abschnitt 4.5).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Das fünfte Kapitel geht stärker auf den gegenwärtigen Online-Aktivismus ein. Als erstes ist dabei das langjährig geführte, von Männern dominierte, stark misogyne Online-Portal </w:t>
      </w:r>
      <w:r>
        <w:rPr>
          <w:rFonts w:ascii="Times New Roman" w:hAnsi="Times New Roman" w:cs="Times New Roman"/>
          <w:i/>
          <w:iCs/>
          <w:sz w:val="24"/>
          <w:szCs w:val="24"/>
        </w:rPr>
        <w:t>Ilbe Storehouse</w:t>
      </w:r>
      <w:r>
        <w:rPr>
          <w:rFonts w:ascii="Times New Roman" w:hAnsi="Times New Roman" w:cs="Times New Roman"/>
          <w:sz w:val="24"/>
          <w:szCs w:val="24"/>
        </w:rPr>
        <w:t xml:space="preserve"> (</w:t>
      </w:r>
      <w:r>
        <w:rPr>
          <w:rFonts w:ascii="Times New Roman" w:hAnsi="Times New Roman" w:cs="Times New Roman" w:hint="eastAsia"/>
          <w:sz w:val="20"/>
          <w:szCs w:val="20"/>
        </w:rPr>
        <w:t>일간베스트</w:t>
      </w:r>
      <w:r>
        <w:rPr>
          <w:rFonts w:ascii="Times New Roman" w:hAnsi="Times New Roman" w:cs="Times New Roman" w:hint="eastAsia"/>
          <w:sz w:val="20"/>
          <w:szCs w:val="20"/>
        </w:rPr>
        <w:t xml:space="preserve"> </w:t>
      </w:r>
      <w:r>
        <w:rPr>
          <w:rFonts w:ascii="Times New Roman" w:hAnsi="Times New Roman" w:cs="Times New Roman" w:hint="eastAsia"/>
          <w:sz w:val="20"/>
          <w:szCs w:val="20"/>
        </w:rPr>
        <w:t>저장소</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Ilbe) Untersuchungsgegenstand (Abschnitt 5.1). Daraus resultiert 2015 als Gegenbewegung das Online-Portal Megalia, eine von Frauen dominierte Plattform, die derzeit die größte, cyberfeministischste Bewegung in Südkorea darstellt. Besonders auffällig sind dabei die Techniken der Hate Speech Imitation und des „Mirroring“, dem Wiederspiegeln der Sprachmuster, die z.B. auf Ilbe zu lesen sind (Abschnitt 5.2). Abseits der Online-Aktivitäten verzeichnet Megalia aber auch eine Vielzahl an Events offline, wie z.B. die erfolgreiche Petition gegen eine Website, die versteckt gefilmte Sex-Aufnahmen zirkulierte, die zur Abschaltung der Website geführt hat und zahlreiche Demonstrationen gegen versteckte Kameras (Abschnitt 5.3). Trotz dieser Erfolge steht Megalia mehrfach in der Kritik. Durch das Mirroring scheint Megalia stark misandrisch zu sein. Ob dies wirklich zutrifft, wird innerhalb dieses Abschnitts diskutiert (Abschnitt 5.4).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Abschließend stellt das sechste Kapitel ein Fazit dar und hält den Status Quo des (Cyber-) Feminismus in Südkorea und dem damit verbundenen Online-Aktivismus fest.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[1.3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 Misogynie und Misandrie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 Folgenden werden die Konzepte von Misogynie und Misandrie näher beleuchtet. Anschließend soll auch aufgezeigt werden, in welcher Art und Weise Misogynie im Internet geäußert wird. Da im späteren auf die These eingegangen wird, Misandrie würde oft als Antwort auf Misogynie entstehen, wird die Misogynie in der Reihenfolge der Definitionen vorangestellt.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Begriffserklärungen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Unter Misogynie wird im generellen Verständnis die Feindseligkeit oder der Hass gegenüber Frauen aufgrund ihres Geschlechts, bzw. der Zugehörigkeit zur sozialen Klasse der Frauen verstanden. Dabei wird diese Aversion aufgrund des Geschlechts explizit gegen jede Frau, oder </w:t>
      </w:r>
      <w:r>
        <w:rPr>
          <w:rFonts w:ascii="Times New Roman" w:hAnsi="Times New Roman" w:cs="Times New Roman"/>
          <w:sz w:val="24"/>
          <w:szCs w:val="24"/>
        </w:rPr>
        <w:lastRenderedPageBreak/>
        <w:t>gegen Frauen im Allgemeinen gerichtet. Meist handelt es sich bei den Personen, die misogyn sind, um Männer. Selbstverständlich können auch Frauen oder Angehörige anderer Geschlechter misogyn sein (</w:t>
      </w:r>
      <w:r>
        <w:rPr>
          <w:rFonts w:ascii="Times New Roman" w:hAnsi="Times New Roman" w:cs="Times New Roman"/>
          <w:smallCaps/>
          <w:sz w:val="24"/>
          <w:szCs w:val="24"/>
        </w:rPr>
        <w:t>Manne</w:t>
      </w:r>
      <w:r>
        <w:rPr>
          <w:rFonts w:ascii="Times New Roman" w:hAnsi="Times New Roman" w:cs="Times New Roman"/>
          <w:sz w:val="24"/>
          <w:szCs w:val="24"/>
        </w:rPr>
        <w:t xml:space="preserve"> 2018: 32, 63). Tatsächlich ist es nicht unwesentlich daran zu erinnern, dass Frauen ebenso misogyn sein können wie Männer. Studien über die letzte Präsidentschaftswahl in den Vereinigten Staaten zwischen Hillary Clinton und Donald Trump zeigten, dass Frauen, andere, erfolgreiche und hochrangige Frauen schnell als manipulativ einstufen, und in sozialer Art „bestrafen“ (im Falle der Wahl durch Nicht-Wählen). Als Erklärung für solches Verhalten wurde die Bedrohung der erfolgreicheren Frau und eine Selbstabwertung angeführt (</w:t>
      </w:r>
      <w:r>
        <w:rPr>
          <w:rFonts w:ascii="Times New Roman" w:hAnsi="Times New Roman" w:cs="Times New Roman"/>
          <w:smallCaps/>
          <w:sz w:val="24"/>
          <w:szCs w:val="24"/>
        </w:rPr>
        <w:t xml:space="preserve">Manne </w:t>
      </w:r>
      <w:r>
        <w:rPr>
          <w:rFonts w:ascii="Times New Roman" w:hAnsi="Times New Roman" w:cs="Times New Roman"/>
          <w:sz w:val="24"/>
          <w:szCs w:val="24"/>
        </w:rPr>
        <w:t>2018: 263-264).</w:t>
      </w:r>
    </w:p>
    <w:p>
      <w:pPr>
        <w:spacing w:line="360" w:lineRule="auto"/>
        <w:ind w:firstLine="567"/>
        <w:jc w:val="both"/>
        <w:rPr>
          <w:rFonts w:ascii="Times New Roman" w:hAnsi="Times New Roman" w:cs="Times New Roman"/>
          <w:sz w:val="24"/>
          <w:szCs w:val="24"/>
        </w:rPr>
      </w:pPr>
      <w:r>
        <w:rPr>
          <w:rFonts w:ascii="Times New Roman" w:hAnsi="Times New Roman" w:cs="Times New Roman"/>
          <w:smallCaps/>
          <w:sz w:val="24"/>
          <w:szCs w:val="24"/>
        </w:rPr>
        <w:t>Manne</w:t>
      </w:r>
      <w:r>
        <w:rPr>
          <w:rFonts w:ascii="Times New Roman" w:hAnsi="Times New Roman" w:cs="Times New Roman"/>
          <w:sz w:val="24"/>
          <w:szCs w:val="24"/>
        </w:rPr>
        <w:t xml:space="preserve"> spezifiziert ihre Definition von Misogynie wie folgt:</w:t>
      </w:r>
    </w:p>
    <w:p>
      <w:pPr>
        <w:spacing w:line="360" w:lineRule="auto"/>
        <w:ind w:firstLine="567"/>
        <w:jc w:val="both"/>
        <w:rPr>
          <w:rFonts w:ascii="Times New Roman" w:hAnsi="Times New Roman" w:cs="Times New Roman"/>
          <w:sz w:val="24"/>
          <w:szCs w:val="24"/>
        </w:rPr>
      </w:pPr>
    </w:p>
    <w:p>
      <w:pPr>
        <w:spacing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[M]isogyny is primarily a property of social systems or environments as a whole, in which women will tend to face hostility of various kinds </w:t>
      </w:r>
      <w:r>
        <w:rPr>
          <w:rFonts w:ascii="Times New Roman" w:hAnsi="Times New Roman" w:cs="Times New Roman"/>
          <w:i/>
          <w:iCs/>
          <w:sz w:val="24"/>
          <w:szCs w:val="24"/>
          <w:lang w:val="en-US"/>
        </w:rPr>
        <w:t>because they are women in a man’s world</w:t>
      </w:r>
      <w:r>
        <w:rPr>
          <w:rFonts w:ascii="Times New Roman" w:hAnsi="Times New Roman" w:cs="Times New Roman"/>
          <w:sz w:val="24"/>
          <w:szCs w:val="24"/>
          <w:lang w:val="en-US"/>
        </w:rPr>
        <w:t xml:space="preserve"> (i.e., a patriarchy), who are held to be failing to live up to patriarchal standards (i.e., tenets of patriarchal ideology that have some purchase in this environment). Because of this, misogynist hostilities will often target women quite selectively, rather than targeting women across the board. (</w:t>
      </w:r>
      <w:r>
        <w:rPr>
          <w:rFonts w:ascii="Times New Roman" w:hAnsi="Times New Roman" w:cs="Times New Roman"/>
          <w:smallCaps/>
          <w:sz w:val="24"/>
          <w:szCs w:val="24"/>
          <w:lang w:val="en-US"/>
        </w:rPr>
        <w:t xml:space="preserve">Manne </w:t>
      </w:r>
      <w:r>
        <w:rPr>
          <w:rFonts w:ascii="Times New Roman" w:hAnsi="Times New Roman" w:cs="Times New Roman"/>
          <w:sz w:val="24"/>
          <w:szCs w:val="24"/>
          <w:lang w:val="en-US"/>
        </w:rPr>
        <w:t>2018: 34-35, Hervorhebung im Original)</w:t>
      </w:r>
    </w:p>
    <w:p>
      <w:pPr>
        <w:spacing w:line="240" w:lineRule="auto"/>
        <w:ind w:left="567"/>
        <w:jc w:val="both"/>
        <w:rPr>
          <w:rFonts w:ascii="Times New Roman" w:hAnsi="Times New Roman" w:cs="Times New Roman"/>
          <w:sz w:val="24"/>
          <w:szCs w:val="24"/>
          <w:lang w:val="en-US"/>
        </w:rPr>
      </w:pPr>
    </w:p>
    <w:p>
      <w:pPr>
        <w:spacing w:line="240" w:lineRule="auto"/>
        <w:ind w:left="567"/>
        <w:jc w:val="both"/>
        <w:rPr>
          <w:rFonts w:ascii="Times New Roman" w:hAnsi="Times New Roman" w:cs="Times New Roman"/>
          <w:sz w:val="24"/>
          <w:szCs w:val="24"/>
        </w:rPr>
      </w:pPr>
      <w:r>
        <w:rPr>
          <w:rFonts w:ascii="Times New Roman" w:hAnsi="Times New Roman" w:cs="Times New Roman"/>
          <w:sz w:val="24"/>
          <w:szCs w:val="24"/>
          <w:lang w:val="en-US"/>
        </w:rPr>
        <w:t xml:space="preserve">[M]isogyny primarily targets women because they are women in a </w:t>
      </w:r>
      <w:r>
        <w:rPr>
          <w:rFonts w:ascii="Times New Roman" w:hAnsi="Times New Roman" w:cs="Times New Roman"/>
          <w:i/>
          <w:iCs/>
          <w:sz w:val="24"/>
          <w:szCs w:val="24"/>
          <w:lang w:val="en-US"/>
        </w:rPr>
        <w:t>man’s world</w:t>
      </w:r>
      <w:r>
        <w:rPr>
          <w:rFonts w:ascii="Times New Roman" w:hAnsi="Times New Roman" w:cs="Times New Roman"/>
          <w:sz w:val="24"/>
          <w:szCs w:val="24"/>
          <w:lang w:val="en-US"/>
        </w:rPr>
        <w:t xml:space="preserve"> (i.e., a historically patriarchal one, among other things), rather than because they are women in a </w:t>
      </w:r>
      <w:r>
        <w:rPr>
          <w:rFonts w:ascii="Times New Roman" w:hAnsi="Times New Roman" w:cs="Times New Roman"/>
          <w:i/>
          <w:iCs/>
          <w:sz w:val="24"/>
          <w:szCs w:val="24"/>
          <w:lang w:val="en-US"/>
        </w:rPr>
        <w:t>man’s mind</w:t>
      </w:r>
      <w:r>
        <w:rPr>
          <w:rFonts w:ascii="Times New Roman" w:hAnsi="Times New Roman" w:cs="Times New Roman"/>
          <w:sz w:val="24"/>
          <w:szCs w:val="24"/>
          <w:lang w:val="en-US"/>
        </w:rPr>
        <w:t xml:space="preserve"> where that man is a misogynist. </w:t>
      </w:r>
      <w:r>
        <w:rPr>
          <w:rFonts w:ascii="Times New Roman" w:hAnsi="Times New Roman" w:cs="Times New Roman"/>
          <w:sz w:val="24"/>
          <w:szCs w:val="24"/>
        </w:rPr>
        <w:t>(</w:t>
      </w:r>
      <w:r>
        <w:rPr>
          <w:rFonts w:ascii="Times New Roman" w:hAnsi="Times New Roman" w:cs="Times New Roman"/>
          <w:smallCaps/>
          <w:sz w:val="24"/>
          <w:szCs w:val="24"/>
        </w:rPr>
        <w:t>Manne</w:t>
      </w:r>
      <w:r>
        <w:rPr>
          <w:rFonts w:ascii="Times New Roman" w:hAnsi="Times New Roman" w:cs="Times New Roman"/>
          <w:sz w:val="24"/>
          <w:szCs w:val="24"/>
        </w:rPr>
        <w:t xml:space="preserve"> 2018: 64, Hervorhebung im Original)</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Misogynie ist also nicht nur ein Set von gegen Frauen gerichteten Einstellungen, sondern eine patriarchale Umgebung, die sich feindselig auf Frauen auswirkt, die sich dieser Ordnung nicht fügen. Aus diesem Grund werden Frauen auch in „gut“ und „schlecht“ eingeteilt. „Gute“ Frauen entsprechen der traditionellen Geschlechterrolle (</w:t>
      </w:r>
      <w:r>
        <w:rPr>
          <w:rFonts w:ascii="Times New Roman" w:hAnsi="Times New Roman" w:cs="Times New Roman"/>
          <w:smallCaps/>
          <w:sz w:val="24"/>
          <w:szCs w:val="24"/>
        </w:rPr>
        <w:t>Manne</w:t>
      </w:r>
      <w:r>
        <w:rPr>
          <w:rFonts w:ascii="Times New Roman" w:hAnsi="Times New Roman" w:cs="Times New Roman"/>
          <w:sz w:val="24"/>
          <w:szCs w:val="24"/>
        </w:rPr>
        <w:t xml:space="preserve"> 2018: 63; </w:t>
      </w:r>
      <w:r>
        <w:rPr>
          <w:rFonts w:ascii="Times New Roman" w:hAnsi="Times New Roman" w:cs="Times New Roman"/>
          <w:smallCaps/>
          <w:sz w:val="24"/>
          <w:szCs w:val="24"/>
        </w:rPr>
        <w:t>Richardson-Self</w:t>
      </w:r>
      <w:r>
        <w:rPr>
          <w:rFonts w:ascii="Times New Roman" w:hAnsi="Times New Roman" w:cs="Times New Roman"/>
          <w:sz w:val="24"/>
          <w:szCs w:val="24"/>
        </w:rPr>
        <w:t xml:space="preserve"> 2018: 263). „Schlechte“ Frauen sind dagegen diejenigen, die in einer Weise die Geschlechterverhältnisse herausfordern, wie z.B. Frauen in Machtpositionen oder in Männer dominierten Branchen, oder im Einzelfall Frauen, die repräsentativ für diese Art stehen (</w:t>
      </w:r>
      <w:r>
        <w:rPr>
          <w:rFonts w:ascii="Times New Roman" w:hAnsi="Times New Roman" w:cs="Times New Roman"/>
          <w:smallCaps/>
          <w:sz w:val="24"/>
          <w:szCs w:val="24"/>
        </w:rPr>
        <w:t xml:space="preserve">Manne 2018: 51, 63; </w:t>
      </w:r>
      <w:r>
        <w:rPr>
          <w:rFonts w:ascii="Times New Roman" w:hAnsi="Times New Roman" w:cs="Times New Roman"/>
          <w:sz w:val="24"/>
          <w:szCs w:val="24"/>
        </w:rPr>
        <w:t>R</w:t>
      </w:r>
      <w:r>
        <w:rPr>
          <w:rFonts w:ascii="Times New Roman" w:hAnsi="Times New Roman" w:cs="Times New Roman"/>
          <w:smallCaps/>
          <w:sz w:val="24"/>
          <w:szCs w:val="24"/>
        </w:rPr>
        <w:t>ichardson-Self</w:t>
      </w:r>
      <w:r>
        <w:rPr>
          <w:rFonts w:ascii="Times New Roman" w:hAnsi="Times New Roman" w:cs="Times New Roman"/>
          <w:sz w:val="24"/>
          <w:szCs w:val="24"/>
        </w:rPr>
        <w:t xml:space="preserve"> 2018: 263-264</w:t>
      </w:r>
      <w:r>
        <w:rPr>
          <w:rFonts w:ascii="Times New Roman" w:hAnsi="Times New Roman" w:cs="Times New Roman"/>
          <w:smallCaps/>
          <w:sz w:val="24"/>
          <w:szCs w:val="24"/>
        </w:rPr>
        <w:t>)</w:t>
      </w:r>
      <w:r>
        <w:rPr>
          <w:rFonts w:ascii="Times New Roman" w:hAnsi="Times New Roman" w:cs="Times New Roman"/>
          <w:sz w:val="24"/>
          <w:szCs w:val="24"/>
        </w:rPr>
        <w:t xml:space="preserve">. </w:t>
      </w:r>
      <w:r>
        <w:rPr>
          <w:rFonts w:ascii="Times New Roman" w:hAnsi="Times New Roman" w:cs="Times New Roman"/>
          <w:smallCaps/>
          <w:sz w:val="24"/>
          <w:szCs w:val="24"/>
        </w:rPr>
        <w:t xml:space="preserve">Manne </w:t>
      </w:r>
      <w:r>
        <w:rPr>
          <w:rFonts w:ascii="Times New Roman" w:hAnsi="Times New Roman" w:cs="Times New Roman"/>
          <w:sz w:val="24"/>
          <w:szCs w:val="24"/>
        </w:rPr>
        <w:t xml:space="preserve">(2018: 69) lehnt die Vorstellung ab, Misogynie würde aus der Psychologie entspringen und auf eine Kategorisierung von Frauen als Untermenschen o.Ä. zurückzuführen sein. Stattdessen steckt hinter Misogynie der Wunsch die patriarchalen Machtverhältnisse zu erhalten oder zu erzwingen.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Misogynie und Sexismus sind stark miteinander verbunden und werden daher im Diskurs oft gemeinsam behandelt. Der grundlegende Unterschied zwischen Beiden liegt in der Beziehung zur patriarchalen Ordnung. Während Misogynie wie bereits erläutert die etablierten </w:t>
      </w:r>
      <w:r>
        <w:rPr>
          <w:rFonts w:ascii="Times New Roman" w:hAnsi="Times New Roman" w:cs="Times New Roman"/>
          <w:sz w:val="24"/>
          <w:szCs w:val="24"/>
        </w:rPr>
        <w:lastRenderedPageBreak/>
        <w:t>Geschlechterverhältnisse beibehält oder weiter durchsetzt, dient Sexismus als ideologische Rechtfertigung dieser Verhältnisse (</w:t>
      </w:r>
      <w:r>
        <w:rPr>
          <w:rFonts w:ascii="Times New Roman" w:hAnsi="Times New Roman" w:cs="Times New Roman"/>
          <w:smallCaps/>
          <w:sz w:val="24"/>
          <w:szCs w:val="24"/>
        </w:rPr>
        <w:t>Manne</w:t>
      </w:r>
      <w:r>
        <w:rPr>
          <w:rFonts w:ascii="Times New Roman" w:hAnsi="Times New Roman" w:cs="Times New Roman"/>
          <w:sz w:val="24"/>
          <w:szCs w:val="24"/>
        </w:rPr>
        <w:t xml:space="preserve"> 2018: 79).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Dem gegenüber steht die Misandrie, welche angeblich spiegelverkehrt die Feindseligkeit oder den Hass gegenüber Männern aufgrund ihres Geschlechts darstellt. In der Geschichte seit den 1890-1980ern wurde der Begriff häufig aber abwertend mit Feminismus gleichgesetzt und implizierte damit, dass Feminismus Männerhass darstellte (</w:t>
      </w:r>
      <w:r>
        <w:rPr>
          <w:rFonts w:ascii="Times New Roman" w:hAnsi="Times New Roman" w:cs="Times New Roman"/>
          <w:smallCaps/>
          <w:sz w:val="24"/>
          <w:szCs w:val="24"/>
        </w:rPr>
        <w:t>Marwick</w:t>
      </w:r>
      <w:r>
        <w:rPr>
          <w:rFonts w:ascii="Times New Roman" w:hAnsi="Times New Roman" w:cs="Times New Roman"/>
          <w:sz w:val="24"/>
          <w:szCs w:val="24"/>
        </w:rPr>
        <w:t xml:space="preserve"> und </w:t>
      </w:r>
      <w:r>
        <w:rPr>
          <w:rFonts w:ascii="Times New Roman" w:hAnsi="Times New Roman" w:cs="Times New Roman"/>
          <w:smallCaps/>
          <w:sz w:val="24"/>
          <w:szCs w:val="24"/>
        </w:rPr>
        <w:t>Caplan</w:t>
      </w:r>
      <w:r>
        <w:rPr>
          <w:rFonts w:ascii="Times New Roman" w:hAnsi="Times New Roman" w:cs="Times New Roman"/>
          <w:sz w:val="24"/>
          <w:szCs w:val="24"/>
        </w:rPr>
        <w:t xml:space="preserve"> 2018: 548-549). </w:t>
      </w:r>
      <w:r>
        <w:rPr>
          <w:rFonts w:ascii="Times New Roman" w:hAnsi="Times New Roman" w:cs="Times New Roman"/>
          <w:sz w:val="24"/>
          <w:szCs w:val="24"/>
          <w:lang w:val="en-US"/>
        </w:rPr>
        <w:t>„[…] [P]eople used misandry not just to establish equivalency between discrimination against men and discrimination against women, but to denigrate those seeking to overcome structural sexism by denying its existence” (</w:t>
      </w:r>
      <w:r>
        <w:rPr>
          <w:rFonts w:ascii="Times New Roman" w:hAnsi="Times New Roman" w:cs="Times New Roman"/>
          <w:smallCaps/>
          <w:sz w:val="24"/>
          <w:szCs w:val="24"/>
          <w:lang w:val="en-US"/>
        </w:rPr>
        <w:t xml:space="preserve">Marwick </w:t>
      </w:r>
      <w:r>
        <w:rPr>
          <w:rFonts w:ascii="Times New Roman" w:hAnsi="Times New Roman" w:cs="Times New Roman"/>
          <w:sz w:val="24"/>
          <w:szCs w:val="24"/>
          <w:lang w:val="en-US"/>
        </w:rPr>
        <w:t xml:space="preserve">und </w:t>
      </w:r>
      <w:r>
        <w:rPr>
          <w:rFonts w:ascii="Times New Roman" w:hAnsi="Times New Roman" w:cs="Times New Roman"/>
          <w:smallCaps/>
          <w:sz w:val="24"/>
          <w:szCs w:val="24"/>
          <w:lang w:val="en-US"/>
        </w:rPr>
        <w:t>Caplan</w:t>
      </w:r>
      <w:r>
        <w:rPr>
          <w:rFonts w:ascii="Times New Roman" w:hAnsi="Times New Roman" w:cs="Times New Roman"/>
          <w:sz w:val="24"/>
          <w:szCs w:val="24"/>
          <w:lang w:val="en-US"/>
        </w:rPr>
        <w:t xml:space="preserve"> 2018: 553).</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Es ist auffallend, dass, wie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76) anführen, diverse Strömungen des Feminismus‘ im Diskurs die Existenz der Misandrie oftmals als in Frage stellen oder leugnen. Andernfalls erscheint Misandrie als Rache und legitime Reaktion auf Misogynie. Oder es wird argumentiert, Misandrie, die Männer erfahren, ist im Vergleich zur Misogynie, die Frauen erfahren, weniger diskutabel. Eine solche Argumentation würde implizieren, sowohl Misandrie, als auch Misogynie könnten in irgendeiner Form „gemessen“ werden. Diese Ansicht ist allerdings mehr als konträr zu der eigentlichen Gleichheitsforderung des Feminismus‘. Die Kritik an der Negierung von Misandrie erscheint also mehr als angebracht.</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Die Ansicht, Misandrie (und damit das soziale Leiden der Männer) wäre im Vergleich zur Misogynie (und damit wiederum dem Leiden der Frauen) „weniger auswirkungsreich“, benennen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77) als komparatives, bzw. kompetitives Leiden. Das Leid derjenigen sozialen Klasse, welches am größten ist, wird durch einen Wettbewerb entschieden und bekämpft. Wer Misandrie verneint oder marginalisiert, vergibt den „Sieg“ direkt an das Leid der Frauen. Ein Vergleich zwischen Leidensarten ist allerdings weder quantitativ, noch qualitativ möglich, da dieses mit Subjektivität und kulturellen Erwartungshaltungen verbunden ist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78). Dieses Argument ist also eine bewusste Instrumentalisierung, um Unterstützung zu erhalten und Voreingenommenheit gegenüber Männern zu bestärken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79). Es ist unbestreitbar, dass Misandrie existiert und auch die soziale Klasse der Männer Ungerechtigkeiten erfährt, die im Sinne der egalitären Forderung des Feminismus‘ bereinigt werden müssen. </w:t>
      </w:r>
      <w:r>
        <w:rPr>
          <w:rFonts w:ascii="Times New Roman" w:hAnsi="Times New Roman" w:cs="Times New Roman"/>
          <w:sz w:val="24"/>
          <w:szCs w:val="24"/>
          <w:highlight w:val="lightGray"/>
        </w:rPr>
        <w:t xml:space="preserve">Eine propagierte Voreingenommenheit, die </w:t>
      </w:r>
      <w:r>
        <w:rPr>
          <w:rFonts w:ascii="Times New Roman" w:hAnsi="Times New Roman" w:cs="Times New Roman"/>
          <w:smallCaps/>
          <w:sz w:val="24"/>
          <w:szCs w:val="24"/>
          <w:highlight w:val="lightGray"/>
        </w:rPr>
        <w:t>Nathanson</w:t>
      </w:r>
      <w:r>
        <w:rPr>
          <w:rFonts w:ascii="Times New Roman" w:hAnsi="Times New Roman" w:cs="Times New Roman"/>
          <w:sz w:val="24"/>
          <w:szCs w:val="24"/>
          <w:highlight w:val="lightGray"/>
        </w:rPr>
        <w:t xml:space="preserve"> und </w:t>
      </w:r>
      <w:r>
        <w:rPr>
          <w:rFonts w:ascii="Times New Roman" w:hAnsi="Times New Roman" w:cs="Times New Roman"/>
          <w:smallCaps/>
          <w:sz w:val="24"/>
          <w:szCs w:val="24"/>
          <w:highlight w:val="lightGray"/>
        </w:rPr>
        <w:t>Young</w:t>
      </w:r>
      <w:r>
        <w:rPr>
          <w:rFonts w:ascii="Times New Roman" w:hAnsi="Times New Roman" w:cs="Times New Roman"/>
          <w:sz w:val="24"/>
          <w:szCs w:val="24"/>
          <w:highlight w:val="lightGray"/>
        </w:rPr>
        <w:t xml:space="preserve"> (2014: 80) beispielsweise in Pflichtvorträgen an U.S.-amerikanischen Universitäten über das Einverständnis einer Frau (zu Sex), Misogynie, Objektifizierung, usw. sehen, stellt die </w:t>
      </w:r>
      <w:r>
        <w:rPr>
          <w:rFonts w:ascii="Times New Roman" w:hAnsi="Times New Roman" w:cs="Times New Roman"/>
          <w:sz w:val="24"/>
          <w:szCs w:val="24"/>
          <w:highlight w:val="lightGray"/>
        </w:rPr>
        <w:lastRenderedPageBreak/>
        <w:t>männlichen Studierenden per se als potentielle Aggressoren dar. Auch wenn das Problem der Generalisierung groß ist und thematisiert werden sollte, impliziert der Vorwurf der propagierten Voreingenommenheit, dass das (wenn auch verpflichtende) Angebot von Bildungsvorträgen zur Aufklärung und Vorbeugung von sexueller Gewalt an Universitäten obsolet wäre. Obwohl solche Vorträge nicht automatisch zum Rückgang von sexueller Gewalt gegen Frauen führen, sollte es kritisch angesehen werden ihnen Bedeutungslosigkeit in dieser Hinsicht zu unterstellen.</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Interessanterweise gibt es auch Männer, die die Benachteiligung ihrer eigenen sozialen Klasse negieren. Ein Grund dafür ist das Konzept von Maskulinität, welches Verletzbarkeit ausschließt. Ein Eingestehen der Benachteiligung wäre mit Verletzbarkeit gleichzusetzen. Die Verletzbarkeit ist angeblich ein weibliches Attribut. Ein Attribut, welches u.a. Feminist*innen nutzen, um die Opferrolle der Frauen innerhalb des patriarchalen Systems zu unterstreichen.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77). Hier wird bereits ein signifikantes Problem deutlich: Nicht nur Frauen werden durch traditionelle Geschlechterrollen eingeschränkt, sondern auch Männer. Dies äußert sich wiederum in der hohen Schulabbrecherquote der Männer, der hohen Suizidrate, der niedrigeren Lebenserwartung, usw.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76).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81) argumentieren auch, Männern wäre im Gegensatz zu Frauen eine gesunde, kollektive Identität verwehrt. Durch anti-soziales Verhalten (z.B. Misogynie) formen sie zumindest eine ungesunde, kollektive Identität, um überhaupt eine gemeinsame Identität zu erschaffen. Als Beispiel für die kollektive Identität der Frauen ziehen sie die Mutterrolle heran, da es durch die Natur jeder biologischen Frau möglich ist, Kinder zu gebären. In dieser Hinsicht fordern Frauen Autonomität, z.B. durch Unterstützung von alleinerziehenden Müttern oder Witwen, das alleinige Entscheidungsrecht bei Schwangerschaftsabbrüchen, usw. Damit ist also nicht nur die Autonomität für die eigene Identität gemeint, sondern auch die Autonomität über die Familienstruktur. Diese sexuelle Autonomität fordern bis jetzt nur Frauen, nicht aber Männer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83). Gerade durch das Einbeziehen von Schwangerschaftsabbrüchen verliert diese Argumentation an Standhaftigkeit. Sollte das letzte, alleinige Entscheidungsrecht nicht bei der Person liegen, die als Einzige das Kind austragen kann? Schwangerschaftsabbruch ist ein Thema, welches dank seiner kontroversen Diskussion eine ganz eigene Forschung bedürfte, die im Rahmen dieser Arbeit keinen Platz findet. Trotzdem sollte bedacht werden, dass die Forderung nach sexueller Autonomität Frauen zusteht – und Männern ebenso. Durch biologische Gegebenheiten sind Frauen aber vielleicht autonomer als Männer, und umgekehrt. Das Finden eines Konsenses ist hier unabdingbar.</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Eine vergleichbare, kollektive Identität haben Männer angeblich nicht. Sie können sich höchstens über ihre gemeinsame Schuld über Privilegien, die aus dem etablierten </w:t>
      </w:r>
      <w:r>
        <w:rPr>
          <w:rFonts w:ascii="Times New Roman" w:hAnsi="Times New Roman" w:cs="Times New Roman"/>
          <w:sz w:val="24"/>
          <w:szCs w:val="24"/>
        </w:rPr>
        <w:lastRenderedPageBreak/>
        <w:t>Gesellschaftssystem resultieren, identifizieren. Doch auch hier sind Männer eher gespalten: Einige sehen sich als vom Feminismus „erleuchtet“ und „laufen über“; andere negieren wie bereits angesprochen ihre Verletzbarkeit; wiederum andere akzeptieren ihre Verletzbarkeit, um weniger verletzlich zu sein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83-85). </w:t>
      </w:r>
    </w:p>
    <w:p>
      <w:pPr>
        <w:spacing w:line="360" w:lineRule="auto"/>
        <w:ind w:firstLine="567"/>
        <w:jc w:val="both"/>
        <w:rPr>
          <w:rFonts w:ascii="Times New Roman" w:hAnsi="Times New Roman" w:cs="Times New Roman"/>
          <w:sz w:val="24"/>
          <w:szCs w:val="24"/>
        </w:rPr>
      </w:pP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85-86) kritisieren das Fehlen einer Aufgabe für Männer, da die Frau inzwischen zu große Autonomität anstrebt und auch ihre Mutterrolle selbstständig ausfüllen kann. Die kollektive Identität verbinden sie unmittelbar mit einem Beitrag für die Gesellschaft, die jede soziale Klasse zu leisten hat, bzw. leisten will. Sie nennen als traditionelle Identitäten der Männer den Beschützer, den Ernährer und den Stammvater. Während die ersten zwei Identitäten durch die Autonomie der Frau bereits weggefallen sind, bleibt nur die Identität des Stammvaters, die aber z.B. in juristischen Texten durch genderneutrale Sprache beschränkt erscheint. Weiterhin behaupten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 xml:space="preserve">Young </w:t>
      </w:r>
      <w:r>
        <w:rPr>
          <w:rFonts w:ascii="Times New Roman" w:hAnsi="Times New Roman" w:cs="Times New Roman"/>
          <w:sz w:val="24"/>
          <w:szCs w:val="24"/>
        </w:rPr>
        <w:t xml:space="preserve">(2014: 86-87), Kinder bräuchten innerhalb einer Familie aber eine Vaterfigur, die ausschließlich männlich sein kann. Während der Mutter(figur) zufällt, Kindern emotionalen Halt durch die Worte „Ich liebe dich“ zu geben, äußert die Vaterfigur ihren Respekt für das „ehrenhafte“ Heranwachsen des Kindes. </w:t>
      </w:r>
      <w:r>
        <w:rPr>
          <w:rFonts w:ascii="Times New Roman" w:hAnsi="Times New Roman" w:cs="Times New Roman"/>
          <w:sz w:val="24"/>
          <w:szCs w:val="24"/>
          <w:lang w:val="en-US"/>
        </w:rPr>
        <w:t>„These vaguely conflicting messages could be confusing if they come from the same parent, of course, even though earned respect is really one form of love” (</w:t>
      </w:r>
      <w:r>
        <w:rPr>
          <w:rFonts w:ascii="Times New Roman" w:hAnsi="Times New Roman" w:cs="Times New Roman"/>
          <w:smallCaps/>
          <w:sz w:val="24"/>
          <w:szCs w:val="24"/>
          <w:lang w:val="en-US"/>
        </w:rPr>
        <w:t>Nathanson</w:t>
      </w:r>
      <w:r>
        <w:rPr>
          <w:rFonts w:ascii="Times New Roman" w:hAnsi="Times New Roman" w:cs="Times New Roman"/>
          <w:sz w:val="24"/>
          <w:szCs w:val="24"/>
          <w:lang w:val="en-US"/>
        </w:rPr>
        <w:t xml:space="preserve"> und </w:t>
      </w:r>
      <w:r>
        <w:rPr>
          <w:rFonts w:ascii="Times New Roman" w:hAnsi="Times New Roman" w:cs="Times New Roman"/>
          <w:smallCaps/>
          <w:sz w:val="24"/>
          <w:szCs w:val="24"/>
          <w:lang w:val="en-US"/>
        </w:rPr>
        <w:t>Young</w:t>
      </w:r>
      <w:r>
        <w:rPr>
          <w:rFonts w:ascii="Times New Roman" w:hAnsi="Times New Roman" w:cs="Times New Roman"/>
          <w:sz w:val="24"/>
          <w:szCs w:val="24"/>
          <w:lang w:val="en-US"/>
        </w:rPr>
        <w:t xml:space="preserve"> 2014: 86). </w:t>
      </w:r>
      <w:r>
        <w:rPr>
          <w:rFonts w:ascii="Times New Roman" w:hAnsi="Times New Roman" w:cs="Times New Roman"/>
          <w:sz w:val="24"/>
          <w:szCs w:val="24"/>
        </w:rPr>
        <w:t xml:space="preserve">Da Frauen diese Funktion also nicht übernehmen können, ist die Vaterrolle eine unabdingbare, kollektive Identität, die Männern nicht entrissen werden darf. Leider erklären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nicht, warum in ihren Augen die kollektive Identität unabdingbar mit einem Beitrag an die Gesellschaft verbunden ist. Es ist per se nicht falsch, dass eine Gesellschaft nur fortbestehen kann, wenn Kinder geboren werden, und dass nur Frauen Mütter und nur Männer Väter sein können. </w:t>
      </w:r>
      <w:r>
        <w:rPr>
          <w:rFonts w:ascii="Times New Roman" w:hAnsi="Times New Roman" w:cs="Times New Roman"/>
          <w:smallCaps/>
          <w:sz w:val="24"/>
          <w:szCs w:val="24"/>
        </w:rPr>
        <w:t xml:space="preserve">Nathanson </w:t>
      </w:r>
      <w:r>
        <w:rPr>
          <w:rFonts w:ascii="Times New Roman" w:hAnsi="Times New Roman" w:cs="Times New Roman"/>
          <w:sz w:val="24"/>
          <w:szCs w:val="24"/>
        </w:rPr>
        <w:t xml:space="preserve">und </w:t>
      </w:r>
      <w:r>
        <w:rPr>
          <w:rFonts w:ascii="Times New Roman" w:hAnsi="Times New Roman" w:cs="Times New Roman"/>
          <w:smallCaps/>
          <w:sz w:val="24"/>
          <w:szCs w:val="24"/>
        </w:rPr>
        <w:t>Young</w:t>
      </w:r>
      <w:r>
        <w:rPr>
          <w:rFonts w:ascii="Times New Roman" w:hAnsi="Times New Roman" w:cs="Times New Roman"/>
          <w:sz w:val="24"/>
          <w:szCs w:val="24"/>
        </w:rPr>
        <w:t xml:space="preserve"> bedienen sich hier aber einer konservativen Argumentation, mit kontroversen Gründen. Warum ist der Beitrag an die Gesellschaft verbunden mit der kollektiven Identität, und nicht ausschließlich mit der des Einzelnen? Eint wirklich nur die Möglichkeit zur Mutterschaft Frauen, und die der Vaterschaft Männer? Ist es wirklich haltbar, dass Kinder mit einer Vaterfigur aufwachsen müssen und dass Väter statt „Ich liebe dich“ sagen, ihren Respekt erweisen? Ist diese Argumentation nicht konträr zur vorher kritisierten Männlichkeit, die Verletzbarkeit (und damit auch verbunden Emotionalität) ausschließt und Männer dementsprechend einschränkt? Wurde diese Einschränkung nicht verglichen mit der Diskriminierung, die Frauen durch traditionelle Geschlechtervorstellungen erfahren? Die Argumentation bezüglich der Vaterrolle erscheinen eher wie die Weiterführung der traditionellen Geschlechtervorstellung, statt einem Versuch sowohl Misandrie, als auch Misogynie zu entkräften und eine Angleichung von Männern und Frauen zu schaffen.</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In der Moderne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Heutzutage sind die meisten Gesellschaften mehr oder minder patriarchal geprägt. Zur dominantesten, privilegiertesten Gruppe innerhalb dieses Systems zählt der Mann. Es liegt nahe, dass die weniger privilegierten Frauen auch abgewertet wahrgenommen, bzw. behandelt werden. Interessanterweise führen </w:t>
      </w:r>
      <w:r>
        <w:rPr>
          <w:rFonts w:ascii="Times New Roman" w:hAnsi="Times New Roman" w:cs="Times New Roman"/>
          <w:smallCaps/>
          <w:sz w:val="24"/>
          <w:szCs w:val="24"/>
        </w:rPr>
        <w:t>Glick</w:t>
      </w:r>
      <w:r>
        <w:rPr>
          <w:rFonts w:ascii="Times New Roman" w:hAnsi="Times New Roman" w:cs="Times New Roman"/>
          <w:sz w:val="24"/>
          <w:szCs w:val="24"/>
        </w:rPr>
        <w:t xml:space="preserve"> und </w:t>
      </w:r>
      <w:r>
        <w:rPr>
          <w:rFonts w:ascii="Times New Roman" w:hAnsi="Times New Roman" w:cs="Times New Roman"/>
          <w:smallCaps/>
          <w:sz w:val="24"/>
          <w:szCs w:val="24"/>
        </w:rPr>
        <w:t>Fiske</w:t>
      </w:r>
      <w:r>
        <w:rPr>
          <w:rFonts w:ascii="Times New Roman" w:hAnsi="Times New Roman" w:cs="Times New Roman"/>
          <w:sz w:val="24"/>
          <w:szCs w:val="24"/>
        </w:rPr>
        <w:t xml:space="preserve"> (2001: 110) und </w:t>
      </w:r>
      <w:r>
        <w:rPr>
          <w:rFonts w:ascii="Times New Roman" w:hAnsi="Times New Roman" w:cs="Times New Roman"/>
          <w:smallCaps/>
          <w:sz w:val="24"/>
          <w:szCs w:val="24"/>
        </w:rPr>
        <w:t>Anderson</w:t>
      </w:r>
      <w:r>
        <w:rPr>
          <w:rFonts w:ascii="Times New Roman" w:hAnsi="Times New Roman" w:cs="Times New Roman"/>
          <w:sz w:val="24"/>
          <w:szCs w:val="24"/>
        </w:rPr>
        <w:t xml:space="preserve"> (2015: 107) Eaglys und Mladinics Theorie des </w:t>
      </w:r>
      <w:r>
        <w:rPr>
          <w:rFonts w:ascii="Times New Roman" w:hAnsi="Times New Roman" w:cs="Times New Roman"/>
          <w:i/>
          <w:iCs/>
          <w:sz w:val="24"/>
          <w:szCs w:val="24"/>
        </w:rPr>
        <w:t>women are wonderful</w:t>
      </w:r>
      <w:r>
        <w:rPr>
          <w:rFonts w:ascii="Times New Roman" w:hAnsi="Times New Roman" w:cs="Times New Roman"/>
          <w:sz w:val="24"/>
          <w:szCs w:val="24"/>
        </w:rPr>
        <w:t>-Effekts an. Dieser besagt, dass mittlerweile Frauen gegenüber Männern positivere Merkmale wie Wärme zugeschrieben werden und damit das Bild der Frau ebenso positiver betrachtet wird. Dies impliziert das Fehlen von Misogynie innerhalb von Patriarchaten. Trotzdem existiert Misogynie weiterhin und drückt sich in verschiedenen Weisen aus. Es muss also eine Ambivalenz bezüglich Frauen geben, sodass diese einerseits begünstigt, andererseits abgewertet werden.</w:t>
      </w:r>
    </w:p>
    <w:p>
      <w:pPr>
        <w:spacing w:line="360" w:lineRule="auto"/>
        <w:ind w:firstLine="567"/>
        <w:jc w:val="both"/>
        <w:rPr>
          <w:rFonts w:ascii="Times New Roman" w:hAnsi="Times New Roman" w:cs="Times New Roman"/>
          <w:sz w:val="24"/>
          <w:szCs w:val="24"/>
          <w:lang w:val="en-US"/>
        </w:rPr>
      </w:pPr>
      <w:r>
        <w:rPr>
          <w:rFonts w:ascii="Times New Roman" w:hAnsi="Times New Roman" w:cs="Times New Roman"/>
          <w:smallCaps/>
          <w:sz w:val="24"/>
          <w:szCs w:val="24"/>
        </w:rPr>
        <w:t>Anderson</w:t>
      </w:r>
      <w:r>
        <w:rPr>
          <w:rFonts w:ascii="Times New Roman" w:hAnsi="Times New Roman" w:cs="Times New Roman"/>
          <w:sz w:val="24"/>
          <w:szCs w:val="24"/>
        </w:rPr>
        <w:t xml:space="preserve"> (2015: 1) hält fest, dass Misogynie und Postfeminismus eng miteinander verbunden sind. Dieser Postfeminismus fand seinen Anfang in den 1990er Jahren und unterscheidet sich grundlegend vom allgemeinen Verständnis von Feminismus, indem er annimmt, die Frau nehme inzwischen dieselbe Position in der gesellschaftlichen Hierarchie ein wie der Mann. Diese Annahme macht aktivistischen Feminismus und Frauenbewegungen obsolet (</w:t>
      </w:r>
      <w:r>
        <w:rPr>
          <w:rFonts w:ascii="Times New Roman" w:hAnsi="Times New Roman" w:cs="Times New Roman"/>
          <w:smallCaps/>
          <w:sz w:val="24"/>
          <w:szCs w:val="24"/>
        </w:rPr>
        <w:t>Anderson</w:t>
      </w:r>
      <w:r>
        <w:rPr>
          <w:rFonts w:ascii="Times New Roman" w:hAnsi="Times New Roman" w:cs="Times New Roman"/>
          <w:sz w:val="24"/>
          <w:szCs w:val="24"/>
        </w:rPr>
        <w:t xml:space="preserve"> 2015: 1, 4). Außerdem suggeriert diese Sichtweise, Frauen wären homogen, hätten dieselben (bereits gelösten) Probleme und Chancen. Dies reduziert Frauen auf privilegierte, weiße, heterosexuelle Frauen der Mittel- oder Oberschicht – ein Bild, welches nicht der Realität entspricht. Diskriminierung, die eine Frau erfährt, wird auf das Individuum zurückgeführt, nicht auf gesellschaftliche Missstände (</w:t>
      </w:r>
      <w:r>
        <w:rPr>
          <w:rFonts w:ascii="Times New Roman" w:hAnsi="Times New Roman" w:cs="Times New Roman"/>
          <w:smallCaps/>
          <w:sz w:val="24"/>
          <w:szCs w:val="24"/>
        </w:rPr>
        <w:t>Anderson</w:t>
      </w:r>
      <w:r>
        <w:rPr>
          <w:rFonts w:ascii="Times New Roman" w:hAnsi="Times New Roman" w:cs="Times New Roman"/>
          <w:sz w:val="24"/>
          <w:szCs w:val="24"/>
        </w:rPr>
        <w:t xml:space="preserve"> 2015: 4). Dies ist auch zentraler Punkt des Postfeminismus: Individualismus. Die Identität einer Frau wird durch sie allein bestimmt und hat keine Verbindung zu Auseinandersetzungen und Erfolgen der Frauenbewegungen (</w:t>
      </w:r>
      <w:r>
        <w:rPr>
          <w:rFonts w:ascii="Times New Roman" w:hAnsi="Times New Roman" w:cs="Times New Roman"/>
          <w:smallCaps/>
          <w:sz w:val="24"/>
          <w:szCs w:val="24"/>
        </w:rPr>
        <w:t>Anderson</w:t>
      </w:r>
      <w:r>
        <w:rPr>
          <w:rFonts w:ascii="Times New Roman" w:hAnsi="Times New Roman" w:cs="Times New Roman"/>
          <w:sz w:val="24"/>
          <w:szCs w:val="24"/>
        </w:rPr>
        <w:t xml:space="preserve"> 2015: 6). </w:t>
      </w:r>
      <w:r>
        <w:rPr>
          <w:rFonts w:ascii="Times New Roman" w:hAnsi="Times New Roman" w:cs="Times New Roman"/>
          <w:sz w:val="24"/>
          <w:szCs w:val="24"/>
          <w:lang w:val="en-US"/>
        </w:rPr>
        <w:t>„[W]hile the individualistic expression of feminism is not inherently problematic, by itself, […] [i]t overlooks structural barriers such as sexim, racism, classism, and heterosexism – factors that continue to impact girls’ lives. Social change is rendered irrelevant, and personal change through consumerism is coded as empowerment” (</w:t>
      </w:r>
      <w:r>
        <w:rPr>
          <w:rFonts w:ascii="Times New Roman" w:hAnsi="Times New Roman" w:cs="Times New Roman"/>
          <w:smallCaps/>
          <w:sz w:val="24"/>
          <w:szCs w:val="24"/>
          <w:lang w:val="en-US"/>
        </w:rPr>
        <w:t>Anderson</w:t>
      </w:r>
      <w:r>
        <w:rPr>
          <w:rFonts w:ascii="Times New Roman" w:hAnsi="Times New Roman" w:cs="Times New Roman"/>
          <w:sz w:val="24"/>
          <w:szCs w:val="24"/>
          <w:lang w:val="en-US"/>
        </w:rPr>
        <w:t xml:space="preserve"> 2015: 8).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Diese postfeministische Perspektive führt zu subtilen, frauenfeindlichen Einstellungen. Einerseits nennt </w:t>
      </w:r>
      <w:r>
        <w:rPr>
          <w:rFonts w:ascii="Times New Roman" w:hAnsi="Times New Roman" w:cs="Times New Roman"/>
          <w:smallCaps/>
          <w:sz w:val="24"/>
          <w:szCs w:val="24"/>
        </w:rPr>
        <w:t>Anderson</w:t>
      </w:r>
      <w:r>
        <w:rPr>
          <w:rFonts w:ascii="Times New Roman" w:hAnsi="Times New Roman" w:cs="Times New Roman"/>
          <w:sz w:val="24"/>
          <w:szCs w:val="24"/>
        </w:rPr>
        <w:t xml:space="preserve"> (2015: 11-12) das negative Image einer Feminist*in. Da Feminismus aus besagter Perspektive heutzutage nicht mehr notwendig ist, wird Feminismus (insbesondere als Gruppenbewegung) als negativ und inakzeptabel angesehen. Eine feministische Sichtweise wird einer extremen, radikalen Einstellung gleichgesetzt. Andererseits </w:t>
      </w:r>
      <w:r>
        <w:rPr>
          <w:rFonts w:ascii="Times New Roman" w:hAnsi="Times New Roman" w:cs="Times New Roman"/>
          <w:sz w:val="24"/>
          <w:szCs w:val="24"/>
        </w:rPr>
        <w:lastRenderedPageBreak/>
        <w:t>nahm auch die Objektifizierung der Frau eine Wende. Während Frauen sich zuvor für ihre eigene Sexualität eingesetzt haben, existiert nun die gesellschaftlich akzeptierte Entscheidung zur Selbst-Objektifizierung und ein Trend zur Hypersexualisierung (</w:t>
      </w:r>
      <w:r>
        <w:rPr>
          <w:rFonts w:ascii="Times New Roman" w:hAnsi="Times New Roman" w:cs="Times New Roman"/>
          <w:smallCaps/>
          <w:sz w:val="24"/>
          <w:szCs w:val="24"/>
        </w:rPr>
        <w:t>Anderson</w:t>
      </w:r>
      <w:r>
        <w:rPr>
          <w:rFonts w:ascii="Times New Roman" w:hAnsi="Times New Roman" w:cs="Times New Roman"/>
          <w:sz w:val="24"/>
          <w:szCs w:val="24"/>
        </w:rPr>
        <w:t xml:space="preserve"> 2015: 12, 14). Dennoch wird sowohl in den Medien als auch in der Gesellschaft das Bild einer passiven, dem Mann untergeordnete, sexuelle Frau konstituiert (</w:t>
      </w:r>
      <w:r>
        <w:rPr>
          <w:rFonts w:ascii="Times New Roman" w:hAnsi="Times New Roman" w:cs="Times New Roman"/>
          <w:smallCaps/>
          <w:sz w:val="24"/>
          <w:szCs w:val="24"/>
        </w:rPr>
        <w:t>Anderson</w:t>
      </w:r>
      <w:r>
        <w:rPr>
          <w:rFonts w:ascii="Times New Roman" w:hAnsi="Times New Roman" w:cs="Times New Roman"/>
          <w:sz w:val="24"/>
          <w:szCs w:val="24"/>
        </w:rPr>
        <w:t xml:space="preserve"> 2015: 13-13).</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Die Annahme einer Gesellschaft, in der Feminismus – also im Grunde das Fordern von Gleichberechtigung – überflüssig geworden ist, birgt in Verbindung mit Individualismus die Gefahr, Diskriminierung auf ein persönliches Erlebnis zu reduzieren und nicht als existenzielles Problem anzuerkennen.</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highlight w:val="lightGray"/>
        </w:rPr>
      </w:pPr>
      <w:r>
        <w:rPr>
          <w:rFonts w:ascii="Times New Roman" w:hAnsi="Times New Roman" w:cs="Times New Roman"/>
          <w:smallCaps/>
          <w:sz w:val="24"/>
          <w:szCs w:val="24"/>
          <w:highlight w:val="lightGray"/>
        </w:rPr>
        <w:t>Glick</w:t>
      </w:r>
      <w:r>
        <w:rPr>
          <w:rFonts w:ascii="Times New Roman" w:hAnsi="Times New Roman" w:cs="Times New Roman"/>
          <w:sz w:val="24"/>
          <w:szCs w:val="24"/>
          <w:highlight w:val="lightGray"/>
        </w:rPr>
        <w:t xml:space="preserve"> und </w:t>
      </w:r>
      <w:r>
        <w:rPr>
          <w:rFonts w:ascii="Times New Roman" w:hAnsi="Times New Roman" w:cs="Times New Roman"/>
          <w:smallCaps/>
          <w:sz w:val="24"/>
          <w:szCs w:val="24"/>
          <w:highlight w:val="lightGray"/>
        </w:rPr>
        <w:t>Fiske</w:t>
      </w:r>
      <w:r>
        <w:rPr>
          <w:rFonts w:ascii="Times New Roman" w:hAnsi="Times New Roman" w:cs="Times New Roman"/>
          <w:sz w:val="24"/>
          <w:szCs w:val="24"/>
          <w:highlight w:val="lightGray"/>
        </w:rPr>
        <w:t xml:space="preserve"> (2001: 109) erkennen zwei Formen von Sexismus, die sich explizit gegen Frauen richten: Feindseliger (</w:t>
      </w:r>
      <w:r>
        <w:rPr>
          <w:rFonts w:ascii="Times New Roman" w:hAnsi="Times New Roman" w:cs="Times New Roman"/>
          <w:i/>
          <w:iCs/>
          <w:sz w:val="24"/>
          <w:szCs w:val="24"/>
          <w:highlight w:val="lightGray"/>
        </w:rPr>
        <w:t>hostile</w:t>
      </w:r>
      <w:r>
        <w:rPr>
          <w:rFonts w:ascii="Times New Roman" w:hAnsi="Times New Roman" w:cs="Times New Roman"/>
          <w:sz w:val="24"/>
          <w:szCs w:val="24"/>
          <w:highlight w:val="lightGray"/>
        </w:rPr>
        <w:t>) und wohlwollender (</w:t>
      </w:r>
      <w:r>
        <w:rPr>
          <w:rFonts w:ascii="Times New Roman" w:hAnsi="Times New Roman" w:cs="Times New Roman"/>
          <w:i/>
          <w:iCs/>
          <w:sz w:val="24"/>
          <w:szCs w:val="24"/>
          <w:highlight w:val="lightGray"/>
        </w:rPr>
        <w:t>benevolent</w:t>
      </w:r>
      <w:r>
        <w:rPr>
          <w:rFonts w:ascii="Times New Roman" w:hAnsi="Times New Roman" w:cs="Times New Roman"/>
          <w:sz w:val="24"/>
          <w:szCs w:val="24"/>
          <w:highlight w:val="lightGray"/>
        </w:rPr>
        <w:t>) Sexismus. Unter ersterer Form versteht man den Ausdruck einer Aversion gegen Frauen, eng verbunden mit der Annahme einer festen Geschlechterbeziehungsstruktur. Frauen, die sich dem traditionellen Bild entziehen, wie z.B. Karrierefrauen oder Feministinnen, werden Ziel dieser Form (</w:t>
      </w:r>
      <w:r>
        <w:rPr>
          <w:rFonts w:ascii="Times New Roman" w:hAnsi="Times New Roman" w:cs="Times New Roman"/>
          <w:smallCaps/>
          <w:sz w:val="24"/>
          <w:szCs w:val="24"/>
          <w:highlight w:val="lightGray"/>
        </w:rPr>
        <w:t>Glick</w:t>
      </w:r>
      <w:r>
        <w:rPr>
          <w:rFonts w:ascii="Times New Roman" w:hAnsi="Times New Roman" w:cs="Times New Roman"/>
          <w:sz w:val="24"/>
          <w:szCs w:val="24"/>
          <w:highlight w:val="lightGray"/>
        </w:rPr>
        <w:t xml:space="preserve"> und </w:t>
      </w:r>
      <w:r>
        <w:rPr>
          <w:rFonts w:ascii="Times New Roman" w:hAnsi="Times New Roman" w:cs="Times New Roman"/>
          <w:smallCaps/>
          <w:sz w:val="24"/>
          <w:szCs w:val="24"/>
          <w:highlight w:val="lightGray"/>
        </w:rPr>
        <w:t>Fiske</w:t>
      </w:r>
      <w:r>
        <w:rPr>
          <w:rFonts w:ascii="Times New Roman" w:hAnsi="Times New Roman" w:cs="Times New Roman"/>
          <w:sz w:val="24"/>
          <w:szCs w:val="24"/>
          <w:highlight w:val="lightGray"/>
        </w:rPr>
        <w:t xml:space="preserve"> 2001: 113; </w:t>
      </w:r>
      <w:r>
        <w:rPr>
          <w:rFonts w:ascii="Times New Roman" w:hAnsi="Times New Roman" w:cs="Times New Roman"/>
          <w:smallCaps/>
          <w:sz w:val="24"/>
          <w:szCs w:val="24"/>
          <w:highlight w:val="lightGray"/>
        </w:rPr>
        <w:t>Anderson</w:t>
      </w:r>
      <w:r>
        <w:rPr>
          <w:rFonts w:ascii="Times New Roman" w:hAnsi="Times New Roman" w:cs="Times New Roman"/>
          <w:sz w:val="24"/>
          <w:szCs w:val="24"/>
          <w:highlight w:val="lightGray"/>
        </w:rPr>
        <w:t xml:space="preserve"> 2015: 108). Letzterer beschreibt Sexismus, der aus der Sicht des Anwenders wohlwollend und manierlich ist, insgeheim aber Frauen auf „das schwache Geschlecht“ reduziert, welches beschützt werden muss (</w:t>
      </w:r>
      <w:r>
        <w:rPr>
          <w:rFonts w:ascii="Times New Roman" w:hAnsi="Times New Roman" w:cs="Times New Roman"/>
          <w:smallCaps/>
          <w:sz w:val="24"/>
          <w:szCs w:val="24"/>
          <w:highlight w:val="lightGray"/>
        </w:rPr>
        <w:t>Glick</w:t>
      </w:r>
      <w:r>
        <w:rPr>
          <w:rFonts w:ascii="Times New Roman" w:hAnsi="Times New Roman" w:cs="Times New Roman"/>
          <w:sz w:val="24"/>
          <w:szCs w:val="24"/>
          <w:highlight w:val="lightGray"/>
        </w:rPr>
        <w:t xml:space="preserve"> und </w:t>
      </w:r>
      <w:r>
        <w:rPr>
          <w:rFonts w:ascii="Times New Roman" w:hAnsi="Times New Roman" w:cs="Times New Roman"/>
          <w:smallCaps/>
          <w:sz w:val="24"/>
          <w:szCs w:val="24"/>
          <w:highlight w:val="lightGray"/>
        </w:rPr>
        <w:t>Fiske</w:t>
      </w:r>
      <w:r>
        <w:rPr>
          <w:rFonts w:ascii="Times New Roman" w:hAnsi="Times New Roman" w:cs="Times New Roman"/>
          <w:sz w:val="24"/>
          <w:szCs w:val="24"/>
          <w:highlight w:val="lightGray"/>
        </w:rPr>
        <w:t xml:space="preserve"> 2001: 111). Damit werden traditionelle Geschlechterrollen begünstigt. Diese Form wird oft nicht als Sexismus angesehen, da sie augenscheinlich im Sinne der Frau angewendet wird. Der wohlwollende Mann stellt die Frau über sein eigenes Wohl, um diese zu beschützen (</w:t>
      </w:r>
      <w:r>
        <w:rPr>
          <w:rFonts w:ascii="Times New Roman" w:hAnsi="Times New Roman" w:cs="Times New Roman"/>
          <w:smallCaps/>
          <w:sz w:val="24"/>
          <w:szCs w:val="24"/>
          <w:highlight w:val="lightGray"/>
        </w:rPr>
        <w:t>Glick</w:t>
      </w:r>
      <w:r>
        <w:rPr>
          <w:rFonts w:ascii="Times New Roman" w:hAnsi="Times New Roman" w:cs="Times New Roman"/>
          <w:sz w:val="24"/>
          <w:szCs w:val="24"/>
          <w:highlight w:val="lightGray"/>
        </w:rPr>
        <w:t xml:space="preserve"> und </w:t>
      </w:r>
      <w:r>
        <w:rPr>
          <w:rFonts w:ascii="Times New Roman" w:hAnsi="Times New Roman" w:cs="Times New Roman"/>
          <w:smallCaps/>
          <w:sz w:val="24"/>
          <w:szCs w:val="24"/>
          <w:highlight w:val="lightGray"/>
        </w:rPr>
        <w:t>Fiske</w:t>
      </w:r>
      <w:r>
        <w:rPr>
          <w:rFonts w:ascii="Times New Roman" w:hAnsi="Times New Roman" w:cs="Times New Roman"/>
          <w:sz w:val="24"/>
          <w:szCs w:val="24"/>
          <w:highlight w:val="lightGray"/>
        </w:rPr>
        <w:t xml:space="preserve"> 2001: 111, 115; </w:t>
      </w:r>
      <w:r>
        <w:rPr>
          <w:rFonts w:ascii="Times New Roman" w:hAnsi="Times New Roman" w:cs="Times New Roman"/>
          <w:smallCaps/>
          <w:sz w:val="24"/>
          <w:szCs w:val="24"/>
          <w:highlight w:val="lightGray"/>
        </w:rPr>
        <w:t>Anderson</w:t>
      </w:r>
      <w:r>
        <w:rPr>
          <w:rFonts w:ascii="Times New Roman" w:hAnsi="Times New Roman" w:cs="Times New Roman"/>
          <w:sz w:val="24"/>
          <w:szCs w:val="24"/>
          <w:highlight w:val="lightGray"/>
        </w:rPr>
        <w:t xml:space="preserve"> 2015: 108). </w:t>
      </w:r>
    </w:p>
    <w:p>
      <w:pPr>
        <w:spacing w:line="360" w:lineRule="auto"/>
        <w:ind w:firstLine="567"/>
        <w:jc w:val="both"/>
        <w:rPr>
          <w:rFonts w:ascii="Times New Roman" w:hAnsi="Times New Roman" w:cs="Times New Roman"/>
          <w:sz w:val="24"/>
          <w:szCs w:val="24"/>
          <w:highlight w:val="lightGray"/>
        </w:rPr>
      </w:pPr>
    </w:p>
    <w:p>
      <w:pPr>
        <w:spacing w:line="240" w:lineRule="auto"/>
        <w:ind w:left="567"/>
        <w:jc w:val="both"/>
        <w:rPr>
          <w:rFonts w:ascii="Times New Roman" w:hAnsi="Times New Roman" w:cs="Times New Roman"/>
          <w:sz w:val="24"/>
          <w:szCs w:val="24"/>
          <w:highlight w:val="lightGray"/>
        </w:rPr>
      </w:pPr>
      <w:r>
        <w:rPr>
          <w:rFonts w:ascii="Times New Roman" w:hAnsi="Times New Roman" w:cs="Times New Roman"/>
          <w:sz w:val="24"/>
          <w:szCs w:val="24"/>
          <w:highlight w:val="lightGray"/>
          <w:lang w:val="en-US"/>
        </w:rPr>
        <w:t xml:space="preserve">Benevolent sexism is disarming. Not only is it subjectively favorable in its characterization of women, but it promises that men’s power will be used to women’s advantage, if only they can secure a high-status male protector. To the extent that women depend on men to be their protectors and providers, they are less likely to protest men’s power or to seek their own independent status. </w:t>
      </w:r>
      <w:r>
        <w:rPr>
          <w:rFonts w:ascii="Times New Roman" w:hAnsi="Times New Roman" w:cs="Times New Roman"/>
          <w:sz w:val="24"/>
          <w:szCs w:val="24"/>
          <w:highlight w:val="lightGray"/>
        </w:rPr>
        <w:t>(</w:t>
      </w:r>
      <w:r>
        <w:rPr>
          <w:rFonts w:ascii="Times New Roman" w:hAnsi="Times New Roman" w:cs="Times New Roman"/>
          <w:smallCaps/>
          <w:sz w:val="24"/>
          <w:szCs w:val="24"/>
          <w:highlight w:val="lightGray"/>
        </w:rPr>
        <w:t>Glick</w:t>
      </w:r>
      <w:r>
        <w:rPr>
          <w:rFonts w:ascii="Times New Roman" w:hAnsi="Times New Roman" w:cs="Times New Roman"/>
          <w:sz w:val="24"/>
          <w:szCs w:val="24"/>
          <w:highlight w:val="lightGray"/>
        </w:rPr>
        <w:t xml:space="preserve"> und </w:t>
      </w:r>
      <w:r>
        <w:rPr>
          <w:rFonts w:ascii="Times New Roman" w:hAnsi="Times New Roman" w:cs="Times New Roman"/>
          <w:smallCaps/>
          <w:sz w:val="24"/>
          <w:szCs w:val="24"/>
          <w:highlight w:val="lightGray"/>
        </w:rPr>
        <w:t>Fiske</w:t>
      </w:r>
      <w:r>
        <w:rPr>
          <w:rFonts w:ascii="Times New Roman" w:hAnsi="Times New Roman" w:cs="Times New Roman"/>
          <w:sz w:val="24"/>
          <w:szCs w:val="24"/>
          <w:highlight w:val="lightGray"/>
        </w:rPr>
        <w:t xml:space="preserve"> 2001: 111)</w:t>
      </w:r>
    </w:p>
    <w:p>
      <w:pPr>
        <w:spacing w:line="360" w:lineRule="auto"/>
        <w:ind w:firstLine="567"/>
        <w:jc w:val="both"/>
        <w:rPr>
          <w:rFonts w:ascii="Times New Roman" w:hAnsi="Times New Roman" w:cs="Times New Roman"/>
          <w:sz w:val="24"/>
          <w:szCs w:val="24"/>
          <w:highlight w:val="lightGray"/>
        </w:rPr>
      </w:pPr>
    </w:p>
    <w:p>
      <w:pPr>
        <w:spacing w:line="360" w:lineRule="auto"/>
        <w:jc w:val="both"/>
        <w:rPr>
          <w:rFonts w:ascii="Times New Roman" w:hAnsi="Times New Roman" w:cs="Times New Roman"/>
          <w:sz w:val="24"/>
          <w:szCs w:val="24"/>
          <w:highlight w:val="lightGray"/>
          <w:lang w:val="en-US"/>
        </w:rPr>
      </w:pPr>
      <w:r>
        <w:rPr>
          <w:rFonts w:ascii="Times New Roman" w:hAnsi="Times New Roman" w:cs="Times New Roman"/>
          <w:sz w:val="24"/>
          <w:szCs w:val="24"/>
          <w:highlight w:val="lightGray"/>
        </w:rPr>
        <w:t>Anders als der feindselige Sexismus, richtet sich diese Form auf Frauen, die dem traditionellen Geschlechterbild entsprechen, da diese den privilegierten Status des Mannes nicht herausfordert. Stattdessen kooperieren diese mit dem Patriarchat, weswegen dieser Sexismus auch „wohlwollend“ erscheint (</w:t>
      </w:r>
      <w:r>
        <w:rPr>
          <w:rFonts w:ascii="Times New Roman" w:hAnsi="Times New Roman" w:cs="Times New Roman"/>
          <w:smallCaps/>
          <w:sz w:val="24"/>
          <w:szCs w:val="24"/>
          <w:highlight w:val="lightGray"/>
        </w:rPr>
        <w:t>Glick</w:t>
      </w:r>
      <w:r>
        <w:rPr>
          <w:rFonts w:ascii="Times New Roman" w:hAnsi="Times New Roman" w:cs="Times New Roman"/>
          <w:sz w:val="24"/>
          <w:szCs w:val="24"/>
          <w:highlight w:val="lightGray"/>
        </w:rPr>
        <w:t xml:space="preserve"> und </w:t>
      </w:r>
      <w:r>
        <w:rPr>
          <w:rFonts w:ascii="Times New Roman" w:hAnsi="Times New Roman" w:cs="Times New Roman"/>
          <w:smallCaps/>
          <w:sz w:val="24"/>
          <w:szCs w:val="24"/>
          <w:highlight w:val="lightGray"/>
        </w:rPr>
        <w:t>Fiske</w:t>
      </w:r>
      <w:r>
        <w:rPr>
          <w:rFonts w:ascii="Times New Roman" w:hAnsi="Times New Roman" w:cs="Times New Roman"/>
          <w:sz w:val="24"/>
          <w:szCs w:val="24"/>
          <w:highlight w:val="lightGray"/>
        </w:rPr>
        <w:t xml:space="preserve"> 2001: 113). Eine alternative Erklärung, warum diese Form oft nicht als Sexismus gewertet wird, ist der Drang nach Selbstschutz. Um feindseligen Sexismus zu entgehen, nehmen Frauen den wohlwollenden Sexismus ebenso wohlwollend an (</w:t>
      </w:r>
      <w:r>
        <w:rPr>
          <w:rFonts w:ascii="Times New Roman" w:hAnsi="Times New Roman" w:cs="Times New Roman"/>
          <w:smallCaps/>
          <w:sz w:val="24"/>
          <w:szCs w:val="24"/>
          <w:highlight w:val="lightGray"/>
        </w:rPr>
        <w:t xml:space="preserve">Glick </w:t>
      </w:r>
      <w:r>
        <w:rPr>
          <w:rFonts w:ascii="Times New Roman" w:hAnsi="Times New Roman" w:cs="Times New Roman"/>
          <w:sz w:val="24"/>
          <w:szCs w:val="24"/>
          <w:highlight w:val="lightGray"/>
        </w:rPr>
        <w:t xml:space="preserve">und </w:t>
      </w:r>
      <w:r>
        <w:rPr>
          <w:rFonts w:ascii="Times New Roman" w:hAnsi="Times New Roman" w:cs="Times New Roman"/>
          <w:smallCaps/>
          <w:sz w:val="24"/>
          <w:szCs w:val="24"/>
          <w:highlight w:val="lightGray"/>
        </w:rPr>
        <w:t>Fiske</w:t>
      </w:r>
      <w:r>
        <w:rPr>
          <w:rFonts w:ascii="Times New Roman" w:hAnsi="Times New Roman" w:cs="Times New Roman"/>
          <w:sz w:val="24"/>
          <w:szCs w:val="24"/>
          <w:highlight w:val="lightGray"/>
        </w:rPr>
        <w:t xml:space="preserve"> 2001: 115). </w:t>
      </w:r>
      <w:r>
        <w:rPr>
          <w:rFonts w:ascii="Times New Roman" w:hAnsi="Times New Roman" w:cs="Times New Roman"/>
          <w:sz w:val="24"/>
          <w:szCs w:val="24"/>
          <w:highlight w:val="lightGray"/>
          <w:lang w:val="en-US"/>
        </w:rPr>
        <w:t xml:space="preserve">„The irony is that women are forced to seek </w:t>
      </w:r>
      <w:r>
        <w:rPr>
          <w:rFonts w:ascii="Times New Roman" w:hAnsi="Times New Roman" w:cs="Times New Roman"/>
          <w:sz w:val="24"/>
          <w:szCs w:val="24"/>
          <w:highlight w:val="lightGray"/>
          <w:lang w:val="en-US"/>
        </w:rPr>
        <w:lastRenderedPageBreak/>
        <w:t>protection from members of the very group that threatens them, and the greater the threat, the stronger the incentive to accept benevolent sexism’s protective ideology” (</w:t>
      </w:r>
      <w:r>
        <w:rPr>
          <w:rFonts w:ascii="Times New Roman" w:hAnsi="Times New Roman" w:cs="Times New Roman"/>
          <w:smallCaps/>
          <w:sz w:val="24"/>
          <w:szCs w:val="24"/>
          <w:highlight w:val="lightGray"/>
          <w:lang w:val="en-US"/>
        </w:rPr>
        <w:t>Glick</w:t>
      </w:r>
      <w:r>
        <w:rPr>
          <w:rFonts w:ascii="Times New Roman" w:hAnsi="Times New Roman" w:cs="Times New Roman"/>
          <w:sz w:val="24"/>
          <w:szCs w:val="24"/>
          <w:highlight w:val="lightGray"/>
          <w:lang w:val="en-US"/>
        </w:rPr>
        <w:t xml:space="preserve"> und </w:t>
      </w:r>
      <w:r>
        <w:rPr>
          <w:rFonts w:ascii="Times New Roman" w:hAnsi="Times New Roman" w:cs="Times New Roman"/>
          <w:smallCaps/>
          <w:sz w:val="24"/>
          <w:szCs w:val="24"/>
          <w:highlight w:val="lightGray"/>
          <w:lang w:val="en-US"/>
        </w:rPr>
        <w:t>Fiske</w:t>
      </w:r>
      <w:r>
        <w:rPr>
          <w:rFonts w:ascii="Times New Roman" w:hAnsi="Times New Roman" w:cs="Times New Roman"/>
          <w:sz w:val="24"/>
          <w:szCs w:val="24"/>
          <w:highlight w:val="lightGray"/>
          <w:lang w:val="en-US"/>
        </w:rPr>
        <w:t xml:space="preserve"> 2001: 115).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highlight w:val="lightGray"/>
        </w:rPr>
        <w:t>Sowohl wohlwollender, als auch feindseliger Sexismus resultieren aus der angenommenen Norm des etablierten Patriarchats, Differenzierungen von Sozialrollen der Geschlechter und der geschlechtlichen Fortpflanzung. Die ersten zwei Faktoren schüren eher den feindseligen Sexismus, der letztere Faktor zeigt, dass Männer biologisch auf Frauen angewiesen sind und die weniger privilegierte Gruppe der Frauen dennoch existenziell ist (</w:t>
      </w:r>
      <w:r>
        <w:rPr>
          <w:rFonts w:ascii="Times New Roman" w:hAnsi="Times New Roman" w:cs="Times New Roman"/>
          <w:smallCaps/>
          <w:sz w:val="24"/>
          <w:szCs w:val="24"/>
          <w:highlight w:val="lightGray"/>
        </w:rPr>
        <w:t>glick</w:t>
      </w:r>
      <w:r>
        <w:rPr>
          <w:rFonts w:ascii="Times New Roman" w:hAnsi="Times New Roman" w:cs="Times New Roman"/>
          <w:sz w:val="24"/>
          <w:szCs w:val="24"/>
          <w:highlight w:val="lightGray"/>
        </w:rPr>
        <w:t xml:space="preserve"> und </w:t>
      </w:r>
      <w:r>
        <w:rPr>
          <w:rFonts w:ascii="Times New Roman" w:hAnsi="Times New Roman" w:cs="Times New Roman"/>
          <w:smallCaps/>
          <w:sz w:val="24"/>
          <w:szCs w:val="24"/>
          <w:highlight w:val="lightGray"/>
        </w:rPr>
        <w:t>Fiske</w:t>
      </w:r>
      <w:r>
        <w:rPr>
          <w:rFonts w:ascii="Times New Roman" w:hAnsi="Times New Roman" w:cs="Times New Roman"/>
          <w:sz w:val="24"/>
          <w:szCs w:val="24"/>
          <w:highlight w:val="lightGray"/>
        </w:rPr>
        <w:t xml:space="preserve"> 2001: 111-112). Beide Formen fungieren als Rechtfertigung für die ungleichen Machtverhältnisse zwischen den Geschlechtern. Durch die Anwendung dieser Sexismen wird das System weiter legitimiert, statt in Frage gestellt (</w:t>
      </w:r>
      <w:r>
        <w:rPr>
          <w:rFonts w:ascii="Times New Roman" w:hAnsi="Times New Roman" w:cs="Times New Roman"/>
          <w:smallCaps/>
          <w:sz w:val="24"/>
          <w:szCs w:val="24"/>
          <w:highlight w:val="lightGray"/>
        </w:rPr>
        <w:t>Glick</w:t>
      </w:r>
      <w:r>
        <w:rPr>
          <w:rFonts w:ascii="Times New Roman" w:hAnsi="Times New Roman" w:cs="Times New Roman"/>
          <w:sz w:val="24"/>
          <w:szCs w:val="24"/>
          <w:highlight w:val="lightGray"/>
        </w:rPr>
        <w:t xml:space="preserve"> und </w:t>
      </w:r>
      <w:r>
        <w:rPr>
          <w:rFonts w:ascii="Times New Roman" w:hAnsi="Times New Roman" w:cs="Times New Roman"/>
          <w:smallCaps/>
          <w:sz w:val="24"/>
          <w:szCs w:val="24"/>
          <w:highlight w:val="lightGray"/>
        </w:rPr>
        <w:t>Fiske</w:t>
      </w:r>
      <w:r>
        <w:rPr>
          <w:rFonts w:ascii="Times New Roman" w:hAnsi="Times New Roman" w:cs="Times New Roman"/>
          <w:sz w:val="24"/>
          <w:szCs w:val="24"/>
          <w:highlight w:val="lightGray"/>
        </w:rPr>
        <w:t xml:space="preserve"> 2001: 110).</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 Online Misogynie</w:t>
      </w:r>
    </w:p>
    <w:p>
      <w:pPr>
        <w:spacing w:line="360" w:lineRule="auto"/>
        <w:jc w:val="both"/>
        <w:rPr>
          <w:rFonts w:ascii="Times New Roman" w:hAnsi="Times New Roman" w:cs="Times New Roman"/>
          <w:sz w:val="24"/>
        </w:rPr>
      </w:pPr>
      <w:r>
        <w:rPr>
          <w:rFonts w:ascii="Times New Roman" w:hAnsi="Times New Roman" w:cs="Times New Roman"/>
          <w:sz w:val="24"/>
        </w:rPr>
        <w:t>Seit dem Beginn des Internets und vor allem mit der Nutzung von Social Media ist Misogynie im Internet, bzw. im Cyberspace ein wachsendes Problem im heutigen Diskurs. Dieser verändert sich stetig durch die rasante Wandelbarkeit des Internets und den schier uneingeschränkten Online-Möglichkeiten. Im Folgenden Abschnitt steht Misogynie im Internet im Vordergrund.</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Zu den Risiken, vor denen u.a. in den Medien oder öffentlichen Debatten gewarnt wird und die zumeist (junge) Frauen betrifft, zählen u.a. Selbstdemontierung des eigenen Images (und resultierende Probleme bei Bewerbungsverfahren, etc.), Sexualisierung, Beeinträchtigung der eigenen Sicherheit, </w:t>
      </w:r>
      <w:r>
        <w:rPr>
          <w:rFonts w:ascii="Times New Roman" w:hAnsi="Times New Roman" w:cs="Times New Roman"/>
          <w:i/>
          <w:iCs/>
          <w:sz w:val="24"/>
        </w:rPr>
        <w:t>Bodyshaming</w:t>
      </w:r>
      <w:r>
        <w:rPr>
          <w:rFonts w:ascii="Times New Roman" w:hAnsi="Times New Roman" w:cs="Times New Roman"/>
          <w:sz w:val="24"/>
        </w:rPr>
        <w:t>, und Online-Belästigung (</w:t>
      </w:r>
      <w:r>
        <w:rPr>
          <w:rFonts w:ascii="Times New Roman" w:hAnsi="Times New Roman" w:cs="Times New Roman"/>
          <w:smallCaps/>
          <w:sz w:val="24"/>
        </w:rPr>
        <w:t>Milford</w:t>
      </w:r>
      <w:r>
        <w:rPr>
          <w:rFonts w:ascii="Times New Roman" w:hAnsi="Times New Roman" w:cs="Times New Roman"/>
          <w:sz w:val="24"/>
        </w:rPr>
        <w:t xml:space="preserve"> 2015: 62). Unter Online-Belästigung, die sich häufig nicht nur auf das Geschlecht, sondern auch die Ethnie richtet (</w:t>
      </w:r>
      <w:r>
        <w:rPr>
          <w:rFonts w:ascii="Times New Roman" w:hAnsi="Times New Roman" w:cs="Times New Roman"/>
          <w:smallCaps/>
          <w:sz w:val="24"/>
        </w:rPr>
        <w:t>Banet-Weiser</w:t>
      </w:r>
      <w:r>
        <w:rPr>
          <w:rFonts w:ascii="Times New Roman" w:hAnsi="Times New Roman" w:cs="Times New Roman"/>
          <w:sz w:val="24"/>
        </w:rPr>
        <w:t xml:space="preserve"> und </w:t>
      </w:r>
      <w:r>
        <w:rPr>
          <w:rFonts w:ascii="Times New Roman" w:hAnsi="Times New Roman" w:cs="Times New Roman"/>
          <w:smallCaps/>
          <w:sz w:val="24"/>
        </w:rPr>
        <w:t>Mitlner</w:t>
      </w:r>
      <w:r>
        <w:rPr>
          <w:rFonts w:ascii="Times New Roman" w:hAnsi="Times New Roman" w:cs="Times New Roman"/>
          <w:sz w:val="24"/>
        </w:rPr>
        <w:t xml:space="preserve"> 2016: 171), fällt inzwischen eine Vielzahl an schädlichen Praktiken, wie z.B. </w:t>
      </w:r>
      <w:r>
        <w:rPr>
          <w:rFonts w:ascii="Times New Roman" w:hAnsi="Times New Roman" w:cs="Times New Roman"/>
          <w:i/>
          <w:iCs/>
          <w:sz w:val="24"/>
        </w:rPr>
        <w:t>Doxing</w:t>
      </w:r>
      <w:r>
        <w:rPr>
          <w:rFonts w:ascii="Times New Roman" w:hAnsi="Times New Roman" w:cs="Times New Roman"/>
          <w:sz w:val="24"/>
        </w:rPr>
        <w:t xml:space="preserve"> (Veröffentlichung von Personendaten) oder </w:t>
      </w:r>
      <w:r>
        <w:rPr>
          <w:rFonts w:ascii="Times New Roman" w:hAnsi="Times New Roman" w:cs="Times New Roman"/>
          <w:i/>
          <w:iCs/>
          <w:sz w:val="24"/>
        </w:rPr>
        <w:t>Revenge</w:t>
      </w:r>
      <w:r>
        <w:rPr>
          <w:rFonts w:ascii="Times New Roman" w:hAnsi="Times New Roman" w:cs="Times New Roman"/>
          <w:sz w:val="24"/>
        </w:rPr>
        <w:t xml:space="preserve"> </w:t>
      </w:r>
      <w:r>
        <w:rPr>
          <w:rFonts w:ascii="Times New Roman" w:hAnsi="Times New Roman" w:cs="Times New Roman"/>
          <w:i/>
          <w:iCs/>
          <w:sz w:val="24"/>
        </w:rPr>
        <w:t>Porn</w:t>
      </w:r>
      <w:r>
        <w:rPr>
          <w:rFonts w:ascii="Times New Roman" w:hAnsi="Times New Roman" w:cs="Times New Roman"/>
          <w:sz w:val="24"/>
        </w:rPr>
        <w:t xml:space="preserve"> (Verbrei</w:t>
      </w:r>
      <w:r>
        <w:rPr>
          <w:rFonts w:ascii="Times New Roman" w:hAnsi="Times New Roman" w:cs="Times New Roman"/>
          <w:sz w:val="24"/>
        </w:rPr>
        <w:softHyphen/>
        <w:t>tung von intimen Foto- oder Videoaufnahmen des Ex-Partners). Diese werden nicht zwingend ausschließlich von Anti-Feminist*innen oder Männern angewendet, doch lässt sich festhalten, dass deren Bewegungen maßgeblichen Einfluss auf die Fülle der Belästigungen haben und diese sie am häufigsten begehen. Die Belästigungen sind von ihren Aggressoren auf Basis der Misandrie legitimiert. Hier fungiert Misandrie als stark anti-feministische und männer</w:t>
      </w:r>
      <w:r>
        <w:rPr>
          <w:rFonts w:ascii="Times New Roman" w:hAnsi="Times New Roman" w:cs="Times New Roman"/>
          <w:sz w:val="24"/>
        </w:rPr>
        <w:softHyphen/>
        <w:t>bedrohende Ideologie (</w:t>
      </w:r>
      <w:r>
        <w:rPr>
          <w:rFonts w:ascii="Times New Roman" w:hAnsi="Times New Roman" w:cs="Times New Roman"/>
          <w:smallCaps/>
          <w:sz w:val="24"/>
        </w:rPr>
        <w:t>Marwick</w:t>
      </w:r>
      <w:r>
        <w:rPr>
          <w:rFonts w:ascii="Times New Roman" w:hAnsi="Times New Roman" w:cs="Times New Roman"/>
          <w:sz w:val="24"/>
        </w:rPr>
        <w:t xml:space="preserve"> und </w:t>
      </w:r>
      <w:r>
        <w:rPr>
          <w:rFonts w:ascii="Times New Roman" w:hAnsi="Times New Roman" w:cs="Times New Roman"/>
          <w:smallCaps/>
          <w:sz w:val="24"/>
        </w:rPr>
        <w:t>Caplan</w:t>
      </w:r>
      <w:r>
        <w:rPr>
          <w:rFonts w:ascii="Times New Roman" w:hAnsi="Times New Roman" w:cs="Times New Roman"/>
          <w:sz w:val="24"/>
        </w:rPr>
        <w:t xml:space="preserve"> 2018: 544, 545). Diese Ideologie verbindet Online-Splittergruppen, die unterschiedliche Ziele oder Themen haben; </w:t>
      </w:r>
      <w:r>
        <w:rPr>
          <w:rFonts w:ascii="Times New Roman" w:hAnsi="Times New Roman" w:cs="Times New Roman"/>
          <w:smallCaps/>
          <w:sz w:val="24"/>
        </w:rPr>
        <w:t>Banet-Weiser</w:t>
      </w:r>
      <w:r>
        <w:rPr>
          <w:rFonts w:ascii="Times New Roman" w:hAnsi="Times New Roman" w:cs="Times New Roman"/>
          <w:sz w:val="24"/>
        </w:rPr>
        <w:t xml:space="preserve"> und </w:t>
      </w:r>
      <w:r>
        <w:rPr>
          <w:rFonts w:ascii="Times New Roman" w:hAnsi="Times New Roman" w:cs="Times New Roman"/>
          <w:smallCaps/>
          <w:sz w:val="24"/>
        </w:rPr>
        <w:t>Miltner</w:t>
      </w:r>
      <w:r>
        <w:rPr>
          <w:rFonts w:ascii="Times New Roman" w:hAnsi="Times New Roman" w:cs="Times New Roman"/>
          <w:sz w:val="24"/>
        </w:rPr>
        <w:t xml:space="preserve"> (2016: 171) nennen dieses Phänomen „vernetzte Misogynie“ (</w:t>
      </w:r>
      <w:r>
        <w:rPr>
          <w:rFonts w:ascii="Times New Roman" w:hAnsi="Times New Roman" w:cs="Times New Roman"/>
          <w:i/>
          <w:iCs/>
          <w:sz w:val="24"/>
        </w:rPr>
        <w:t>networked misogyny</w:t>
      </w:r>
      <w:r>
        <w:rPr>
          <w:rFonts w:ascii="Times New Roman" w:hAnsi="Times New Roman" w:cs="Times New Roman"/>
          <w:sz w:val="24"/>
        </w:rPr>
        <w:t xml:space="preserve">). </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Ein großes Problem in Hinsicht auf das Internet, bzw. das Cyberspace und Frauen, bzw. Misogynie ist das Phänomen der Objektifizierung, welches nicht gerade neu ist, durch das Internet aber ein neues Ausmaß angenommen hat. Objektifizierung beschreibt die metaphorische Versachlichung einer Person, die daraufhin von dem objektifizierenden Individuum nicht mehr als Mensch, sondern als Ding behandelt wird (</w:t>
      </w:r>
      <w:r>
        <w:rPr>
          <w:rFonts w:ascii="Times New Roman" w:hAnsi="Times New Roman" w:cs="Times New Roman"/>
          <w:smallCaps/>
          <w:sz w:val="24"/>
        </w:rPr>
        <w:t>Nussbaum</w:t>
      </w:r>
      <w:r>
        <w:rPr>
          <w:rFonts w:ascii="Times New Roman" w:hAnsi="Times New Roman" w:cs="Times New Roman"/>
          <w:sz w:val="24"/>
        </w:rPr>
        <w:t xml:space="preserve"> 2010: 69). Mit Bezug auf Misogynie, wird im Folgenden die Objektifizierung von Frauen im Internet behandelt, auch wenn selbstverständlich Männer oder andere Geschlechter im Internet objektifiziert werden.</w:t>
      </w:r>
    </w:p>
    <w:p>
      <w:pPr>
        <w:spacing w:line="360" w:lineRule="auto"/>
        <w:ind w:firstLine="567"/>
        <w:jc w:val="both"/>
        <w:rPr>
          <w:rFonts w:ascii="Times New Roman" w:hAnsi="Times New Roman" w:cs="Times New Roman"/>
          <w:sz w:val="24"/>
        </w:rPr>
      </w:pPr>
      <w:r>
        <w:rPr>
          <w:rFonts w:ascii="Times New Roman" w:hAnsi="Times New Roman" w:cs="Times New Roman"/>
          <w:smallCaps/>
          <w:sz w:val="24"/>
        </w:rPr>
        <w:t>Nussbaum</w:t>
      </w:r>
      <w:r>
        <w:rPr>
          <w:rFonts w:ascii="Times New Roman" w:hAnsi="Times New Roman" w:cs="Times New Roman"/>
          <w:sz w:val="24"/>
        </w:rPr>
        <w:t xml:space="preserve"> (2010: 69-71) erkennt zehn Arten der Objektifizierung, die zu einem Cluster zusammengefügt werden können</w:t>
      </w:r>
      <w:r>
        <w:rPr>
          <w:rStyle w:val="Funotenzeichen"/>
          <w:rFonts w:ascii="Times New Roman" w:hAnsi="Times New Roman" w:cs="Times New Roman"/>
          <w:sz w:val="24"/>
        </w:rPr>
        <w:footnoteReference w:id="1"/>
      </w:r>
      <w:r>
        <w:rPr>
          <w:rFonts w:ascii="Times New Roman" w:hAnsi="Times New Roman" w:cs="Times New Roman"/>
          <w:sz w:val="24"/>
        </w:rPr>
        <w:t>:</w:t>
      </w:r>
    </w:p>
    <w:p>
      <w:pPr>
        <w:spacing w:line="360" w:lineRule="auto"/>
        <w:jc w:val="both"/>
        <w:rPr>
          <w:rFonts w:ascii="Times New Roman" w:hAnsi="Times New Roman" w:cs="Times New Roman"/>
          <w:sz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72"/>
      </w:tblGrid>
      <w:tr>
        <w:tc>
          <w:tcPr>
            <w:tcW w:w="4390" w:type="dxa"/>
          </w:tcPr>
          <w:p>
            <w:pPr>
              <w:spacing w:line="360" w:lineRule="auto"/>
              <w:ind w:left="-111" w:firstLine="567"/>
              <w:jc w:val="both"/>
              <w:rPr>
                <w:rFonts w:ascii="Times New Roman" w:hAnsi="Times New Roman" w:cs="Times New Roman"/>
                <w:sz w:val="24"/>
              </w:rPr>
            </w:pPr>
            <w:r>
              <w:rPr>
                <w:rFonts w:ascii="Times New Roman" w:hAnsi="Times New Roman" w:cs="Times New Roman"/>
                <w:sz w:val="24"/>
              </w:rPr>
              <w:t xml:space="preserve">(1) Instrumentalisierung, </w:t>
            </w:r>
          </w:p>
          <w:p>
            <w:pPr>
              <w:spacing w:line="360" w:lineRule="auto"/>
              <w:ind w:left="-111" w:firstLine="567"/>
              <w:jc w:val="both"/>
              <w:rPr>
                <w:rFonts w:ascii="Times New Roman" w:hAnsi="Times New Roman" w:cs="Times New Roman"/>
                <w:sz w:val="24"/>
              </w:rPr>
            </w:pPr>
            <w:r>
              <w:rPr>
                <w:rFonts w:ascii="Times New Roman" w:hAnsi="Times New Roman" w:cs="Times New Roman"/>
                <w:sz w:val="24"/>
              </w:rPr>
              <w:t xml:space="preserve">(2) Verweigerung von Autonomität, </w:t>
            </w:r>
          </w:p>
          <w:p>
            <w:pPr>
              <w:spacing w:line="360" w:lineRule="auto"/>
              <w:ind w:left="-111" w:firstLine="567"/>
              <w:jc w:val="both"/>
              <w:rPr>
                <w:rFonts w:ascii="Times New Roman" w:hAnsi="Times New Roman" w:cs="Times New Roman"/>
                <w:sz w:val="24"/>
              </w:rPr>
            </w:pPr>
            <w:r>
              <w:rPr>
                <w:rFonts w:ascii="Times New Roman" w:hAnsi="Times New Roman" w:cs="Times New Roman"/>
                <w:sz w:val="24"/>
              </w:rPr>
              <w:t>(3) Inaktivität (der Objektifizierten),</w:t>
            </w:r>
          </w:p>
          <w:p>
            <w:pPr>
              <w:spacing w:line="360" w:lineRule="auto"/>
              <w:ind w:left="-111" w:firstLine="567"/>
              <w:jc w:val="both"/>
              <w:rPr>
                <w:rFonts w:ascii="Times New Roman" w:hAnsi="Times New Roman" w:cs="Times New Roman"/>
                <w:sz w:val="24"/>
              </w:rPr>
            </w:pPr>
            <w:r>
              <w:rPr>
                <w:rFonts w:ascii="Times New Roman" w:hAnsi="Times New Roman" w:cs="Times New Roman"/>
                <w:sz w:val="24"/>
              </w:rPr>
              <w:t>(4) Austauschbarkeit,</w:t>
            </w:r>
          </w:p>
          <w:p>
            <w:pPr>
              <w:spacing w:line="360" w:lineRule="auto"/>
              <w:ind w:left="-111" w:firstLine="567"/>
              <w:jc w:val="both"/>
              <w:rPr>
                <w:rFonts w:ascii="Times New Roman" w:hAnsi="Times New Roman" w:cs="Times New Roman"/>
                <w:sz w:val="24"/>
              </w:rPr>
            </w:pPr>
            <w:r>
              <w:rPr>
                <w:rFonts w:ascii="Times New Roman" w:hAnsi="Times New Roman" w:cs="Times New Roman"/>
                <w:sz w:val="24"/>
              </w:rPr>
              <w:t>(5) Verletzbarkeit,</w:t>
            </w:r>
          </w:p>
        </w:tc>
        <w:tc>
          <w:tcPr>
            <w:tcW w:w="4672" w:type="dxa"/>
          </w:tcPr>
          <w:p>
            <w:pPr>
              <w:spacing w:line="360" w:lineRule="auto"/>
              <w:ind w:left="-103" w:firstLine="567"/>
              <w:jc w:val="both"/>
              <w:rPr>
                <w:rFonts w:ascii="Times New Roman" w:hAnsi="Times New Roman" w:cs="Times New Roman"/>
                <w:sz w:val="24"/>
              </w:rPr>
            </w:pPr>
            <w:r>
              <w:rPr>
                <w:rFonts w:ascii="Times New Roman" w:hAnsi="Times New Roman" w:cs="Times New Roman"/>
                <w:sz w:val="24"/>
              </w:rPr>
              <w:t>(6) Eigentumsanspruch,</w:t>
            </w:r>
          </w:p>
          <w:p>
            <w:pPr>
              <w:spacing w:line="360" w:lineRule="auto"/>
              <w:ind w:left="-103" w:firstLine="567"/>
              <w:jc w:val="both"/>
              <w:rPr>
                <w:rFonts w:ascii="Times New Roman" w:hAnsi="Times New Roman" w:cs="Times New Roman"/>
                <w:sz w:val="24"/>
              </w:rPr>
            </w:pPr>
            <w:r>
              <w:rPr>
                <w:rFonts w:ascii="Times New Roman" w:hAnsi="Times New Roman" w:cs="Times New Roman"/>
                <w:sz w:val="24"/>
              </w:rPr>
              <w:t>(7) Verweigerung von Subjektivität,</w:t>
            </w:r>
          </w:p>
          <w:p>
            <w:pPr>
              <w:spacing w:line="360" w:lineRule="auto"/>
              <w:ind w:left="-103" w:firstLine="567"/>
              <w:jc w:val="both"/>
              <w:rPr>
                <w:rFonts w:ascii="Times New Roman" w:hAnsi="Times New Roman" w:cs="Times New Roman"/>
                <w:sz w:val="24"/>
              </w:rPr>
            </w:pPr>
            <w:r>
              <w:rPr>
                <w:rFonts w:ascii="Times New Roman" w:hAnsi="Times New Roman" w:cs="Times New Roman"/>
                <w:sz w:val="24"/>
              </w:rPr>
              <w:t>(8) Reduzierung auf den Körper,</w:t>
            </w:r>
          </w:p>
          <w:p>
            <w:pPr>
              <w:spacing w:line="360" w:lineRule="auto"/>
              <w:ind w:left="-103" w:firstLine="567"/>
              <w:jc w:val="both"/>
              <w:rPr>
                <w:rFonts w:ascii="Times New Roman" w:hAnsi="Times New Roman" w:cs="Times New Roman"/>
                <w:sz w:val="24"/>
              </w:rPr>
            </w:pPr>
            <w:r>
              <w:rPr>
                <w:rFonts w:ascii="Times New Roman" w:hAnsi="Times New Roman" w:cs="Times New Roman"/>
                <w:sz w:val="24"/>
              </w:rPr>
              <w:t>(9) Reduzierung auf das Äußere,</w:t>
            </w:r>
          </w:p>
          <w:p>
            <w:pPr>
              <w:spacing w:line="360" w:lineRule="auto"/>
              <w:ind w:left="-103" w:firstLine="567"/>
              <w:jc w:val="both"/>
              <w:rPr>
                <w:rFonts w:ascii="Times New Roman" w:hAnsi="Times New Roman" w:cs="Times New Roman"/>
                <w:sz w:val="24"/>
              </w:rPr>
            </w:pPr>
            <w:r>
              <w:rPr>
                <w:rFonts w:ascii="Times New Roman" w:hAnsi="Times New Roman" w:cs="Times New Roman"/>
                <w:sz w:val="24"/>
              </w:rPr>
              <w:t xml:space="preserve">(10) </w:t>
            </w:r>
            <w:r>
              <w:rPr>
                <w:rFonts w:ascii="Times New Roman" w:hAnsi="Times New Roman" w:cs="Times New Roman"/>
                <w:i/>
                <w:iCs/>
                <w:sz w:val="24"/>
              </w:rPr>
              <w:t>Silencing</w:t>
            </w:r>
            <w:r>
              <w:rPr>
                <w:rFonts w:ascii="Times New Roman" w:hAnsi="Times New Roman" w:cs="Times New Roman"/>
                <w:sz w:val="24"/>
              </w:rPr>
              <w:t xml:space="preserve"> (Verstummung) </w:t>
            </w:r>
          </w:p>
          <w:p>
            <w:pPr>
              <w:spacing w:line="360" w:lineRule="auto"/>
              <w:ind w:left="-103" w:firstLine="567"/>
              <w:jc w:val="both"/>
              <w:rPr>
                <w:rFonts w:ascii="Times New Roman" w:hAnsi="Times New Roman" w:cs="Times New Roman"/>
                <w:sz w:val="24"/>
              </w:rPr>
            </w:pPr>
            <w:r>
              <w:rPr>
                <w:rFonts w:ascii="Times New Roman" w:hAnsi="Times New Roman" w:cs="Times New Roman"/>
                <w:sz w:val="24"/>
              </w:rPr>
              <w:t xml:space="preserve">       (der Objektifizierten)</w:t>
            </w:r>
          </w:p>
        </w:tc>
      </w:tr>
    </w:tbl>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Mit Bezug auf Misogynie im Internet oder auf Social Media sind die Punkte (1), (2), (7), (8) und (10) besonders hervorzuheben. Die Instrumentalisierung ist der zentrale Aspekt der Objektifizierung. Frauen, die objektifiziert werden, werden im Sinne des Mannes, der sie objektifiziert, zum Mittel zum eigenen Nutzen. Diese Instrumentalisierung ist auch zum Großteil die Erklärung dafür, warum es weitere Gründe für die Objektifizierung gibt und wie diese Instrumentalisierung aussieht (</w:t>
      </w:r>
      <w:r>
        <w:rPr>
          <w:rFonts w:ascii="Times New Roman" w:hAnsi="Times New Roman" w:cs="Times New Roman"/>
          <w:smallCaps/>
          <w:sz w:val="24"/>
        </w:rPr>
        <w:t>Nussbaum</w:t>
      </w:r>
      <w:r>
        <w:rPr>
          <w:rFonts w:ascii="Times New Roman" w:hAnsi="Times New Roman" w:cs="Times New Roman"/>
          <w:sz w:val="24"/>
        </w:rPr>
        <w:t xml:space="preserve"> 2010: 70). Im Internet stellt sexuell anregendes oder pornographisches Material oft eine offensichtliche Verbindung zur Objektifizierung dar. Dabei wird offensichtlich, dass die Frau auf ihren Körper (oder Körperteile) reduziert wird. Gleichzeitig sollen Frauen auch zum Schweigen gebracht werden, damit sie z.B. keine feministischen Ideologien verbreiten oder als autonomes Wesen auftreten (</w:t>
      </w:r>
      <w:r>
        <w:rPr>
          <w:rFonts w:ascii="Times New Roman" w:hAnsi="Times New Roman" w:cs="Times New Roman"/>
          <w:smallCaps/>
          <w:sz w:val="24"/>
        </w:rPr>
        <w:t>Langton</w:t>
      </w:r>
      <w:r>
        <w:rPr>
          <w:rFonts w:ascii="Times New Roman" w:hAnsi="Times New Roman" w:cs="Times New Roman"/>
          <w:sz w:val="24"/>
        </w:rPr>
        <w:t xml:space="preserve"> 2009: 228-229;</w:t>
      </w:r>
      <w:r>
        <w:rPr>
          <w:rFonts w:ascii="Times New Roman" w:hAnsi="Times New Roman" w:cs="Times New Roman"/>
          <w:smallCaps/>
          <w:sz w:val="24"/>
        </w:rPr>
        <w:t xml:space="preserve"> Nussbaum</w:t>
      </w:r>
      <w:r>
        <w:rPr>
          <w:rFonts w:ascii="Times New Roman" w:hAnsi="Times New Roman" w:cs="Times New Roman"/>
          <w:sz w:val="24"/>
        </w:rPr>
        <w:t xml:space="preserve"> 2010: 71). Letzteres ist ein weiterer wichtiger Bestandteil der Objektifizierung im Internet: Die Verweigerung der Autonomität. Dies äußert sich beispielsweise dadurch, dass die Frau als Untermensch kategorisiert und ihr damit die </w:t>
      </w:r>
      <w:r>
        <w:rPr>
          <w:rFonts w:ascii="Times New Roman" w:hAnsi="Times New Roman" w:cs="Times New Roman"/>
          <w:sz w:val="24"/>
        </w:rPr>
        <w:lastRenderedPageBreak/>
        <w:t>Selbstständigkeit entzogen wird. Gleichzeitig ist der letzte Bestandteil im Falle des Internets auch die Verweigerung der Subjektivität. Die absichtliche, instrumentalisierte Objektifizierung, die eine Frau im Internet erfahren kann, beeinflusst sie in ihrer Subjektivität. Damit verändert sich ihr Verhalten in Hinsicht auf ihre Arbeit oder ihr Sozialleben (</w:t>
      </w:r>
      <w:r>
        <w:rPr>
          <w:rFonts w:ascii="Times New Roman" w:hAnsi="Times New Roman" w:cs="Times New Roman"/>
          <w:smallCaps/>
          <w:sz w:val="24"/>
        </w:rPr>
        <w:t>Nussbaum</w:t>
      </w:r>
      <w:r>
        <w:rPr>
          <w:rFonts w:ascii="Times New Roman" w:hAnsi="Times New Roman" w:cs="Times New Roman"/>
          <w:sz w:val="24"/>
        </w:rPr>
        <w:t xml:space="preserve"> 2010: 72). Objektifizierung kann auch durch seine stigmatisierende Wirkung (sowohl im Digitalen, als auch Realen) auf die persönliche Identität einer Frau mit der Problematik des </w:t>
      </w:r>
      <w:r>
        <w:rPr>
          <w:rFonts w:ascii="Times New Roman" w:hAnsi="Times New Roman" w:cs="Times New Roman"/>
          <w:i/>
          <w:iCs/>
          <w:sz w:val="24"/>
        </w:rPr>
        <w:t>Shaming</w:t>
      </w:r>
      <w:r>
        <w:rPr>
          <w:rFonts w:ascii="Times New Roman" w:hAnsi="Times New Roman" w:cs="Times New Roman"/>
          <w:sz w:val="24"/>
        </w:rPr>
        <w:t xml:space="preserve"> (Beschämung), der Missbilligung und Ausgrenzung aus der Gesellschaft, verbunden werden (</w:t>
      </w:r>
      <w:r>
        <w:rPr>
          <w:rFonts w:ascii="Times New Roman" w:hAnsi="Times New Roman" w:cs="Times New Roman"/>
          <w:smallCaps/>
          <w:sz w:val="24"/>
        </w:rPr>
        <w:t>Nussbaum</w:t>
      </w:r>
      <w:r>
        <w:rPr>
          <w:rFonts w:ascii="Times New Roman" w:hAnsi="Times New Roman" w:cs="Times New Roman"/>
          <w:sz w:val="24"/>
        </w:rPr>
        <w:t xml:space="preserve"> 2010: 73-75). </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Doch woher erhalten Männer diese Macht Frauen zu instrumentalisieren und in ihrer Autonomie zu beschneiden? Die Antwort auf diese Frage liegt in der Natur des Internets. </w:t>
      </w:r>
      <w:r>
        <w:rPr>
          <w:rFonts w:ascii="Times New Roman" w:hAnsi="Times New Roman" w:cs="Times New Roman"/>
          <w:sz w:val="24"/>
          <w:lang w:val="en-US"/>
        </w:rPr>
        <w:t xml:space="preserve">Dieses ermöglicht die Erschaffung einer neuen Realität, in welcher „[…] an objectified version of the person replaces the real person; its ability to disseminate this spoiled identity widely and rapidly; and its ability to cause large-scale disruptions in the real world […]” </w:t>
      </w:r>
      <w:r>
        <w:rPr>
          <w:rFonts w:ascii="Times New Roman" w:hAnsi="Times New Roman" w:cs="Times New Roman"/>
          <w:sz w:val="24"/>
        </w:rPr>
        <w:t>(</w:t>
      </w:r>
      <w:r>
        <w:rPr>
          <w:rFonts w:ascii="Times New Roman" w:hAnsi="Times New Roman" w:cs="Times New Roman"/>
          <w:smallCaps/>
          <w:sz w:val="24"/>
        </w:rPr>
        <w:t>Nussbaum</w:t>
      </w:r>
      <w:r>
        <w:rPr>
          <w:rFonts w:ascii="Times New Roman" w:hAnsi="Times New Roman" w:cs="Times New Roman"/>
          <w:sz w:val="24"/>
        </w:rPr>
        <w:t xml:space="preserve"> 2010: 69). Diese neue Realität kann bleibenden Schaden an der tatsächlichen Realität anrichten: Die Sicht des Aggressors im Internet kann sich auf die Sicht der Umwelt auf die Betroffene übertragen (</w:t>
      </w:r>
      <w:r>
        <w:rPr>
          <w:rFonts w:ascii="Times New Roman" w:hAnsi="Times New Roman" w:cs="Times New Roman"/>
          <w:smallCaps/>
          <w:sz w:val="24"/>
        </w:rPr>
        <w:t>Nussbaum</w:t>
      </w:r>
      <w:r>
        <w:rPr>
          <w:rFonts w:ascii="Times New Roman" w:hAnsi="Times New Roman" w:cs="Times New Roman"/>
          <w:sz w:val="24"/>
        </w:rPr>
        <w:t xml:space="preserve"> 2010: 79). Die Autonomität und Subjektivität einer Person können auch außerhalb des Internets verletzt werden und sich negativ auswirken, z.B. auf Berufsmöglichkeiten durch Erscheinen von Kommentaren bei einer Online-Suche (</w:t>
      </w:r>
      <w:r>
        <w:rPr>
          <w:rFonts w:ascii="Times New Roman" w:hAnsi="Times New Roman" w:cs="Times New Roman"/>
          <w:smallCaps/>
          <w:sz w:val="24"/>
        </w:rPr>
        <w:t>Nussbaum</w:t>
      </w:r>
      <w:r>
        <w:rPr>
          <w:rFonts w:ascii="Times New Roman" w:hAnsi="Times New Roman" w:cs="Times New Roman"/>
          <w:sz w:val="24"/>
        </w:rPr>
        <w:t xml:space="preserve"> 2010: 72). Das Internet schafft allerdings nicht nur eine neue Realität, sondern auch Schutz für den Aggressor, den es in der tatsächlichen Realität nicht geben würde: Anonymität. </w:t>
      </w:r>
      <w:r>
        <w:rPr>
          <w:rFonts w:ascii="Times New Roman" w:hAnsi="Times New Roman" w:cs="Times New Roman"/>
          <w:sz w:val="24"/>
          <w:lang w:val="en-US"/>
        </w:rPr>
        <w:t xml:space="preserve">„You would have to hesitate before publicizing your abuse […], because you would put yourself in a vulnerable position by so doing. Now, by contrast, your view of the target circulates all over the world […]. </w:t>
      </w:r>
      <w:r>
        <w:rPr>
          <w:rFonts w:ascii="Times New Roman" w:hAnsi="Times New Roman" w:cs="Times New Roman"/>
          <w:sz w:val="24"/>
        </w:rPr>
        <w:t>Meanwhile, you are protected by anonymity” (</w:t>
      </w:r>
      <w:r>
        <w:rPr>
          <w:rFonts w:ascii="Times New Roman" w:hAnsi="Times New Roman" w:cs="Times New Roman"/>
          <w:smallCaps/>
          <w:sz w:val="24"/>
        </w:rPr>
        <w:t>Nussbaum</w:t>
      </w:r>
      <w:r>
        <w:rPr>
          <w:rFonts w:ascii="Times New Roman" w:hAnsi="Times New Roman" w:cs="Times New Roman"/>
          <w:sz w:val="24"/>
        </w:rPr>
        <w:t xml:space="preserve"> 2010: 78). </w:t>
      </w:r>
    </w:p>
    <w:p>
      <w:pPr>
        <w:spacing w:line="360" w:lineRule="auto"/>
        <w:ind w:firstLine="567"/>
        <w:jc w:val="both"/>
        <w:rPr>
          <w:rFonts w:ascii="Times New Roman" w:hAnsi="Times New Roman" w:cs="Times New Roman"/>
          <w:sz w:val="24"/>
          <w:lang w:val="en-US"/>
        </w:rPr>
      </w:pPr>
      <w:r>
        <w:rPr>
          <w:rFonts w:ascii="Times New Roman" w:hAnsi="Times New Roman" w:cs="Times New Roman"/>
          <w:sz w:val="24"/>
        </w:rPr>
        <w:t xml:space="preserve">Welches höhere Ziel steckt hinter dem </w:t>
      </w:r>
      <w:r>
        <w:rPr>
          <w:rFonts w:ascii="Times New Roman" w:hAnsi="Times New Roman" w:cs="Times New Roman"/>
          <w:i/>
          <w:iCs/>
          <w:sz w:val="24"/>
        </w:rPr>
        <w:t>Shaming</w:t>
      </w:r>
      <w:r>
        <w:rPr>
          <w:rFonts w:ascii="Times New Roman" w:hAnsi="Times New Roman" w:cs="Times New Roman"/>
          <w:sz w:val="24"/>
        </w:rPr>
        <w:t>? Die betroffenen Frauen sind angeblich in einem Bereich ihres Lebens als erfolgreicher oder attraktiver als der objektifizierende Mann und werden dadurch als Konkurrenz wahrgenommen, deren Ansehen korrumpiert werden muss (</w:t>
      </w:r>
      <w:r>
        <w:rPr>
          <w:rFonts w:ascii="Times New Roman" w:hAnsi="Times New Roman" w:cs="Times New Roman"/>
          <w:smallCaps/>
          <w:sz w:val="24"/>
        </w:rPr>
        <w:t>Nussbaum</w:t>
      </w:r>
      <w:r>
        <w:rPr>
          <w:rFonts w:ascii="Times New Roman" w:hAnsi="Times New Roman" w:cs="Times New Roman"/>
          <w:sz w:val="24"/>
        </w:rPr>
        <w:t xml:space="preserve"> 2010: 80). Dies entspricht den „schlechten“ Frauen, wie unter Abschnitt 2.1 genannt, und dem Wunsch patriarchale Wertvorstellungen zu verteidigen, bzw. wieder in Stand zu setzen, gegen die die Frau sich augenscheinlich gerichtet hat. </w:t>
      </w:r>
      <w:r>
        <w:rPr>
          <w:rFonts w:ascii="Times New Roman" w:hAnsi="Times New Roman" w:cs="Times New Roman"/>
          <w:sz w:val="24"/>
          <w:lang w:val="en-US"/>
        </w:rPr>
        <w:t>„The shaming of others creates safety for the shamer“ (</w:t>
      </w:r>
      <w:r>
        <w:rPr>
          <w:rFonts w:ascii="Times New Roman" w:hAnsi="Times New Roman" w:cs="Times New Roman"/>
          <w:smallCaps/>
          <w:sz w:val="24"/>
          <w:lang w:val="en-US"/>
        </w:rPr>
        <w:t>Nussbaum</w:t>
      </w:r>
      <w:r>
        <w:rPr>
          <w:rFonts w:ascii="Times New Roman" w:hAnsi="Times New Roman" w:cs="Times New Roman"/>
          <w:sz w:val="24"/>
          <w:lang w:val="en-US"/>
        </w:rPr>
        <w:t xml:space="preserve"> 2010: 82).</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Wichtig ist allerdings anzuerkennen, dass eine gewisse Form der Objektifizierung aber auch Ausdruck von Selbstbestimmung der Frau in ihrer Online-Repräsentation sein kann. Immerhin steht es Nutzer*innen zu, sich online so zu präsentieren, wie sie es wollen – und sei dies in einer selbst objektifizierenden Haltung. Es ist also wichtig nicht nur das Problem des </w:t>
      </w:r>
      <w:r>
        <w:rPr>
          <w:rFonts w:ascii="Times New Roman" w:hAnsi="Times New Roman" w:cs="Times New Roman"/>
          <w:i/>
          <w:iCs/>
          <w:sz w:val="24"/>
        </w:rPr>
        <w:lastRenderedPageBreak/>
        <w:t>Shaming</w:t>
      </w:r>
      <w:r>
        <w:rPr>
          <w:rFonts w:ascii="Times New Roman" w:hAnsi="Times New Roman" w:cs="Times New Roman"/>
          <w:sz w:val="24"/>
        </w:rPr>
        <w:t xml:space="preserve"> zu erfassen und auszumerzen, sondern auch das </w:t>
      </w:r>
      <w:r>
        <w:rPr>
          <w:rFonts w:ascii="Times New Roman" w:hAnsi="Times New Roman" w:cs="Times New Roman"/>
          <w:i/>
          <w:iCs/>
          <w:sz w:val="24"/>
        </w:rPr>
        <w:t>Shamings</w:t>
      </w:r>
      <w:r>
        <w:rPr>
          <w:rFonts w:ascii="Times New Roman" w:hAnsi="Times New Roman" w:cs="Times New Roman"/>
          <w:sz w:val="24"/>
        </w:rPr>
        <w:t xml:space="preserve"> gegenüber Frauen, die sich als Ausdruck ihrer Autonomie objektifiziert präsentieren möchten (</w:t>
      </w:r>
      <w:r>
        <w:rPr>
          <w:rFonts w:ascii="Times New Roman" w:hAnsi="Times New Roman" w:cs="Times New Roman"/>
          <w:smallCaps/>
          <w:sz w:val="24"/>
        </w:rPr>
        <w:t>Milford</w:t>
      </w:r>
      <w:r>
        <w:rPr>
          <w:rFonts w:ascii="Times New Roman" w:hAnsi="Times New Roman" w:cs="Times New Roman"/>
          <w:sz w:val="24"/>
        </w:rPr>
        <w:t xml:space="preserve"> 2015: 63, 65).</w:t>
      </w:r>
    </w:p>
    <w:p>
      <w:pPr>
        <w:spacing w:line="360" w:lineRule="auto"/>
        <w:ind w:firstLine="567"/>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 Misandrie als Antwort auf Misogynie</w:t>
      </w:r>
    </w:p>
    <w:p>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Innerhalb des Postfeminismus‘ ist es ein weitverbreiteter Vorwurf, Feminist*innen hätten eine Aversion gegen Männer. Da in der Annahme des Postfeminismus‘ keine Frauenbewegung mehr benötigt wird, haben Feminist*innen nicht mehr das Ziel Geschlechtergleichberechtigung zu schaffen, da sie dem männlichen Geschlecht überlegen sind, sondern aufgrund ihres Männerhasses ein Matriarchat aufzubauen (</w:t>
      </w:r>
      <w:r>
        <w:rPr>
          <w:rFonts w:ascii="Times New Roman" w:hAnsi="Times New Roman" w:cs="Times New Roman"/>
          <w:smallCaps/>
          <w:sz w:val="24"/>
          <w:szCs w:val="24"/>
        </w:rPr>
        <w:t>Anderson</w:t>
      </w:r>
      <w:r>
        <w:rPr>
          <w:rFonts w:ascii="Times New Roman" w:hAnsi="Times New Roman" w:cs="Times New Roman"/>
          <w:sz w:val="24"/>
          <w:szCs w:val="24"/>
        </w:rPr>
        <w:t xml:space="preserve"> 2015: 50-51, 54). </w:t>
      </w:r>
      <w:r>
        <w:rPr>
          <w:rFonts w:ascii="Times New Roman" w:hAnsi="Times New Roman" w:cs="Times New Roman"/>
          <w:sz w:val="24"/>
          <w:szCs w:val="24"/>
          <w:lang w:val="en-US"/>
        </w:rPr>
        <w:t>„[…] [T]he misandry of the women’s movement had transformed men into an oppressed minority […], caused by systemic discrimination against men within labor, families, and court systems” (</w:t>
      </w:r>
      <w:r>
        <w:rPr>
          <w:rFonts w:ascii="Times New Roman" w:hAnsi="Times New Roman" w:cs="Times New Roman"/>
          <w:smallCaps/>
          <w:sz w:val="24"/>
          <w:szCs w:val="24"/>
          <w:lang w:val="en-US"/>
        </w:rPr>
        <w:t>Marwick</w:t>
      </w:r>
      <w:r>
        <w:rPr>
          <w:rFonts w:ascii="Times New Roman" w:hAnsi="Times New Roman" w:cs="Times New Roman"/>
          <w:sz w:val="24"/>
          <w:szCs w:val="24"/>
          <w:lang w:val="en-US"/>
        </w:rPr>
        <w:t xml:space="preserve"> und </w:t>
      </w:r>
      <w:r>
        <w:rPr>
          <w:rFonts w:ascii="Times New Roman" w:hAnsi="Times New Roman" w:cs="Times New Roman"/>
          <w:smallCaps/>
          <w:sz w:val="24"/>
          <w:szCs w:val="24"/>
          <w:lang w:val="en-US"/>
        </w:rPr>
        <w:t>Caplan</w:t>
      </w:r>
      <w:r>
        <w:rPr>
          <w:rFonts w:ascii="Times New Roman" w:hAnsi="Times New Roman" w:cs="Times New Roman"/>
          <w:sz w:val="24"/>
          <w:szCs w:val="24"/>
          <w:lang w:val="en-US"/>
        </w:rPr>
        <w:t xml:space="preserve"> 2018: 552). “This may occur because awareness of women’s gender pride and of gender quality efforts may increase the salience of males’ sex-category membership and contribute to an in-group-out-group dynamic (us-them enemy perceptions)” (</w:t>
      </w:r>
      <w:r>
        <w:rPr>
          <w:rFonts w:ascii="Times New Roman" w:hAnsi="Times New Roman" w:cs="Times New Roman"/>
          <w:smallCaps/>
          <w:sz w:val="24"/>
          <w:szCs w:val="24"/>
          <w:lang w:val="en-US"/>
        </w:rPr>
        <w:t>Burn, Aboud</w:t>
      </w:r>
      <w:r>
        <w:rPr>
          <w:rFonts w:ascii="Times New Roman" w:hAnsi="Times New Roman" w:cs="Times New Roman"/>
          <w:sz w:val="24"/>
          <w:szCs w:val="24"/>
          <w:lang w:val="en-US"/>
        </w:rPr>
        <w:t xml:space="preserve"> und </w:t>
      </w:r>
      <w:r>
        <w:rPr>
          <w:rFonts w:ascii="Times New Roman" w:hAnsi="Times New Roman" w:cs="Times New Roman"/>
          <w:smallCaps/>
          <w:sz w:val="24"/>
          <w:szCs w:val="24"/>
          <w:lang w:val="en-US"/>
        </w:rPr>
        <w:t>Moyles</w:t>
      </w:r>
      <w:r>
        <w:rPr>
          <w:rFonts w:ascii="Times New Roman" w:hAnsi="Times New Roman" w:cs="Times New Roman"/>
          <w:sz w:val="24"/>
          <w:szCs w:val="24"/>
          <w:lang w:val="en-US"/>
        </w:rPr>
        <w:t xml:space="preserve"> 2000: 1082-1083).</w:t>
      </w:r>
    </w:p>
    <w:p>
      <w:pPr>
        <w:spacing w:line="360" w:lineRule="auto"/>
        <w:ind w:firstLine="567"/>
        <w:jc w:val="both"/>
        <w:rPr>
          <w:rFonts w:ascii="Times New Roman" w:hAnsi="Times New Roman" w:cs="Times New Roman"/>
          <w:sz w:val="24"/>
          <w:szCs w:val="24"/>
          <w:lang w:val="en-US"/>
        </w:rPr>
      </w:pPr>
      <w:r>
        <w:rPr>
          <w:rFonts w:ascii="Times New Roman" w:hAnsi="Times New Roman" w:cs="Times New Roman"/>
          <w:smallCaps/>
          <w:sz w:val="24"/>
          <w:szCs w:val="24"/>
        </w:rPr>
        <w:t>Anderson</w:t>
      </w:r>
      <w:r>
        <w:rPr>
          <w:rFonts w:ascii="Times New Roman" w:hAnsi="Times New Roman" w:cs="Times New Roman"/>
          <w:sz w:val="24"/>
          <w:szCs w:val="24"/>
        </w:rPr>
        <w:t xml:space="preserve"> (2015: 54-59) führt mehrere Studien an, die Männerhass von Frauen widerlegen, darunter u.a. eine Studie von Peter Glick und Susan Fiske aus dem Jahr 1999, sowie von John Maltby und Liza Day von 2001. Nach ihrer Studie kamen Glick und Fiske zu der Erkenntnis, Frauen, die stärker an traditionelle Geschlechterrollen und Stereotypen festhalten, Männer eher ablehnen. Ihre Theorie dazu ist, dass diese Frauen von der gesellschaftlichen, traditionellen Hierarchie benachteiligt sind und diese Unzufriedenheit auf Männer projizieren. Feministinnen, die Stereotypen ablehnen, neigen eher zu Neutralität gegenüber Männern. </w:t>
      </w:r>
      <w:r>
        <w:rPr>
          <w:rFonts w:ascii="Times New Roman" w:hAnsi="Times New Roman" w:cs="Times New Roman"/>
          <w:sz w:val="24"/>
          <w:szCs w:val="24"/>
          <w:lang w:val="en-US"/>
        </w:rPr>
        <w:t xml:space="preserve">Dasselbe Ergebnis hat auch Matlbys und Days Studie. „[…] man-hating is linked more to </w:t>
      </w:r>
      <w:r>
        <w:rPr>
          <w:rFonts w:ascii="Times New Roman" w:hAnsi="Times New Roman" w:cs="Times New Roman"/>
          <w:i/>
          <w:iCs/>
          <w:sz w:val="24"/>
          <w:szCs w:val="24"/>
          <w:lang w:val="en-US"/>
        </w:rPr>
        <w:t>anti</w:t>
      </w:r>
      <w:r>
        <w:rPr>
          <w:rFonts w:ascii="Times New Roman" w:hAnsi="Times New Roman" w:cs="Times New Roman"/>
          <w:sz w:val="24"/>
          <w:szCs w:val="24"/>
          <w:lang w:val="en-US"/>
        </w:rPr>
        <w:t xml:space="preserve">-feminism and gender </w:t>
      </w:r>
      <w:r>
        <w:rPr>
          <w:rFonts w:ascii="Times New Roman" w:hAnsi="Times New Roman" w:cs="Times New Roman"/>
          <w:i/>
          <w:iCs/>
          <w:sz w:val="24"/>
          <w:szCs w:val="24"/>
          <w:lang w:val="en-US"/>
        </w:rPr>
        <w:t>in</w:t>
      </w:r>
      <w:r>
        <w:rPr>
          <w:rFonts w:ascii="Times New Roman" w:hAnsi="Times New Roman" w:cs="Times New Roman"/>
          <w:sz w:val="24"/>
          <w:szCs w:val="24"/>
          <w:lang w:val="en-US"/>
        </w:rPr>
        <w:t>equality than it is to feminism and gender equality” (</w:t>
      </w:r>
      <w:r>
        <w:rPr>
          <w:rFonts w:ascii="Times New Roman" w:hAnsi="Times New Roman" w:cs="Times New Roman"/>
          <w:smallCaps/>
          <w:sz w:val="24"/>
          <w:szCs w:val="24"/>
          <w:lang w:val="en-US"/>
        </w:rPr>
        <w:t>Anderson</w:t>
      </w:r>
      <w:r>
        <w:rPr>
          <w:rFonts w:ascii="Times New Roman" w:hAnsi="Times New Roman" w:cs="Times New Roman"/>
          <w:sz w:val="24"/>
          <w:szCs w:val="24"/>
          <w:lang w:val="en-US"/>
        </w:rPr>
        <w:t xml:space="preserve"> 2015: 58, Hervorhebung im Original).</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Die unter Abschnitt 2.2 angesprochene Individualisierung führt hier ebenfalls zum Bild der misandrischen Frau, bzw. Feministin. Statt Feminismus oder Auflehnung gegen patriarchale Verhaltensstrukturen als Ablehnung des </w:t>
      </w:r>
      <w:r>
        <w:rPr>
          <w:rFonts w:ascii="Times New Roman" w:hAnsi="Times New Roman" w:cs="Times New Roman"/>
          <w:i/>
          <w:iCs/>
          <w:sz w:val="24"/>
          <w:szCs w:val="24"/>
        </w:rPr>
        <w:t>Systems</w:t>
      </w:r>
      <w:r>
        <w:rPr>
          <w:rFonts w:ascii="Times New Roman" w:hAnsi="Times New Roman" w:cs="Times New Roman"/>
          <w:sz w:val="24"/>
          <w:szCs w:val="24"/>
        </w:rPr>
        <w:t xml:space="preserve"> der Geschlechterungerechtigkeit zu verstehen, wird sie als Generalisierung und Ablehnung von Männern betrachtet, die nur im einzelnen Fall greifen, wie z.B. in Sexismus-Debatten. </w:t>
      </w:r>
      <w:r>
        <w:rPr>
          <w:rFonts w:ascii="Times New Roman" w:hAnsi="Times New Roman" w:cs="Times New Roman"/>
          <w:sz w:val="24"/>
          <w:szCs w:val="24"/>
          <w:highlight w:val="lightGray"/>
        </w:rPr>
        <w:t>Dabei wird sexuelle Belästigung oder Gewalt auf Misskommunikation zwischen Frau und Mann reduziert. Wird die Belästigung angesprochen, wechselt der Mann aufgrund dessen in die Opferrolle</w:t>
      </w:r>
      <w:r>
        <w:rPr>
          <w:rFonts w:ascii="Times New Roman" w:hAnsi="Times New Roman" w:cs="Times New Roman"/>
          <w:sz w:val="24"/>
          <w:szCs w:val="24"/>
        </w:rPr>
        <w:t xml:space="preserve"> (</w:t>
      </w:r>
      <w:r>
        <w:rPr>
          <w:rFonts w:ascii="Times New Roman" w:hAnsi="Times New Roman" w:cs="Times New Roman"/>
          <w:smallCaps/>
          <w:sz w:val="24"/>
          <w:szCs w:val="24"/>
        </w:rPr>
        <w:t>Anderson</w:t>
      </w:r>
      <w:r>
        <w:rPr>
          <w:rFonts w:ascii="Times New Roman" w:hAnsi="Times New Roman" w:cs="Times New Roman"/>
          <w:sz w:val="24"/>
          <w:szCs w:val="24"/>
        </w:rPr>
        <w:t xml:space="preserve"> 2015: 63). </w:t>
      </w:r>
      <w:r>
        <w:rPr>
          <w:rFonts w:ascii="Times New Roman" w:hAnsi="Times New Roman" w:cs="Times New Roman"/>
          <w:sz w:val="24"/>
          <w:szCs w:val="24"/>
          <w:highlight w:val="lightGray"/>
        </w:rPr>
        <w:t>Das Ansprechen sexueller Belästigung wird folglich als misandrisch angesehen.</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Der Vorwurf der Misandrie oder der neuen Überbevorteilung von Frauen äußert sich z.B. durch die angebliche Überrepräsentation der Frauen in den Medien, sowie der Bevorzugung in Schulbildung und Karriere. </w:t>
      </w:r>
      <w:r>
        <w:rPr>
          <w:rFonts w:ascii="Times New Roman" w:hAnsi="Times New Roman" w:cs="Times New Roman"/>
          <w:smallCaps/>
          <w:sz w:val="24"/>
          <w:szCs w:val="24"/>
        </w:rPr>
        <w:t>Anderson</w:t>
      </w:r>
      <w:r>
        <w:rPr>
          <w:rFonts w:ascii="Times New Roman" w:hAnsi="Times New Roman" w:cs="Times New Roman"/>
          <w:sz w:val="24"/>
          <w:szCs w:val="24"/>
        </w:rPr>
        <w:t xml:space="preserve"> (2015: 75-86) weist dies zurück. Untersuchungen innerhalb der Medien- und Popkultur zeigen eine klare Unterrepräsentation und Hypersexualisierung der Frauen. Gleichzeitig werden Frauen eher passive, unterstützende Rollen zugeschrieben, während Männer als aktive Macher dargestellt werden. (Es ist hier allerdings anzumerken, dass innerhalb der Männer eine Gruppe tatsächlich marginalisiert wird: Farbige. Im Vergleich zu Frauen sind diese tatsächlich unterrepräsentiert und noch stärker stereotypisiert.) Auch Schul- und Lehrmaterial zeigen eine deutliche, männliche Präferenz und geschlechtsspezifische Vorurteile. In der akademischen Ausbildung findet keine besondere Bevorzugung statt. Vergleicht man exemplarisch die Daten vom Geschlechterverhältnis U.S.-amerikanischer Universitäten, erkennt man ein relatives Gleichgewicht mit 57% Frauenanteil. Stattdessen ist zu erkennen, dass Männern durch ihre Privilegien weitaus mehr Selbstwertgefühl gelehrt wird, was sich in späteren Karriereoptionen und Gehaltsvorstellungen auswirkt. Daraus resultierend verdienen Frauen weniger oder haben schwächere Aufstiegschancen (</w:t>
      </w:r>
      <w:r>
        <w:rPr>
          <w:rFonts w:ascii="Times New Roman" w:hAnsi="Times New Roman" w:cs="Times New Roman"/>
          <w:smallCaps/>
          <w:sz w:val="24"/>
          <w:szCs w:val="24"/>
        </w:rPr>
        <w:t>Anderson</w:t>
      </w:r>
      <w:r>
        <w:rPr>
          <w:rFonts w:ascii="Times New Roman" w:hAnsi="Times New Roman" w:cs="Times New Roman"/>
          <w:sz w:val="24"/>
          <w:szCs w:val="24"/>
        </w:rPr>
        <w:t xml:space="preserve"> 2015: 86-94). Die Wahrnehmung von Marginalisierung scheint daher eher subjektiv durch Post-, bzw. Anti-Feminist*innen.</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Warum ist diese Wahrnehmung überhaupt entstanden? Wieso wird Misandrie als Konsequenz der Misogynie, bzw. deren Bekämpfung gesehen? Als Erklärung kann Trina Grillos und Stephanie Wildmans Theorie des </w:t>
      </w:r>
      <w:r>
        <w:rPr>
          <w:rFonts w:ascii="Times New Roman" w:hAnsi="Times New Roman" w:cs="Times New Roman"/>
          <w:i/>
          <w:iCs/>
          <w:sz w:val="24"/>
          <w:szCs w:val="24"/>
        </w:rPr>
        <w:t>center stage problem</w:t>
      </w:r>
      <w:r>
        <w:rPr>
          <w:rFonts w:ascii="Times New Roman" w:hAnsi="Times New Roman" w:cs="Times New Roman"/>
          <w:sz w:val="24"/>
          <w:szCs w:val="24"/>
        </w:rPr>
        <w:t>s hinzugezogen werden (</w:t>
      </w:r>
      <w:r>
        <w:rPr>
          <w:rFonts w:ascii="Times New Roman" w:hAnsi="Times New Roman" w:cs="Times New Roman"/>
          <w:smallCaps/>
          <w:sz w:val="24"/>
          <w:szCs w:val="24"/>
        </w:rPr>
        <w:t>Anderson</w:t>
      </w:r>
      <w:r>
        <w:rPr>
          <w:rFonts w:ascii="Times New Roman" w:hAnsi="Times New Roman" w:cs="Times New Roman"/>
          <w:sz w:val="24"/>
          <w:szCs w:val="24"/>
        </w:rPr>
        <w:t xml:space="preserve"> 2015: 86), die sie eigentlich auf Rassismus und die Privilegien Weißer übertrugen. Nach dieser Theorie nimmt die dominante, privilegierte Gruppe den Mittelpunkt der Bühne ein (</w:t>
      </w:r>
      <w:r>
        <w:rPr>
          <w:rFonts w:ascii="Times New Roman" w:hAnsi="Times New Roman" w:cs="Times New Roman"/>
          <w:i/>
          <w:iCs/>
          <w:sz w:val="24"/>
          <w:szCs w:val="24"/>
        </w:rPr>
        <w:t>center stage</w:t>
      </w:r>
      <w:r>
        <w:rPr>
          <w:rFonts w:ascii="Times New Roman" w:hAnsi="Times New Roman" w:cs="Times New Roman"/>
          <w:sz w:val="24"/>
          <w:szCs w:val="24"/>
        </w:rPr>
        <w:t>). Da diese Privilegien „schon immer dagewesen“ zu sein scheinen, gehört es für die dominante Gruppe zur Norm, Vorteile gegenüber anderen, weniger privilegierten Gruppen inne zu haben. Diese Privilegien erscheinen aus ihrer Gewohnheit heraus als unsichtbar (</w:t>
      </w:r>
      <w:r>
        <w:rPr>
          <w:rFonts w:ascii="Times New Roman" w:hAnsi="Times New Roman" w:cs="Times New Roman"/>
          <w:smallCaps/>
          <w:sz w:val="24"/>
          <w:szCs w:val="24"/>
        </w:rPr>
        <w:t>Grillo</w:t>
      </w:r>
      <w:r>
        <w:rPr>
          <w:rFonts w:ascii="Times New Roman" w:hAnsi="Times New Roman" w:cs="Times New Roman"/>
          <w:sz w:val="24"/>
          <w:szCs w:val="24"/>
        </w:rPr>
        <w:t xml:space="preserve"> und </w:t>
      </w:r>
      <w:r>
        <w:rPr>
          <w:rFonts w:ascii="Times New Roman" w:hAnsi="Times New Roman" w:cs="Times New Roman"/>
          <w:smallCaps/>
          <w:sz w:val="24"/>
          <w:szCs w:val="24"/>
        </w:rPr>
        <w:t>Wildman</w:t>
      </w:r>
      <w:r>
        <w:rPr>
          <w:rFonts w:ascii="Times New Roman" w:hAnsi="Times New Roman" w:cs="Times New Roman"/>
          <w:sz w:val="24"/>
          <w:szCs w:val="24"/>
        </w:rPr>
        <w:t xml:space="preserve"> 1991: 401). Wechselt der Fokus von der dominanten Gruppe zu einer anderen, fühlt sich die dominante Gruppe des Zentrums geraubt. Die Gruppe, die plötzlich im Mittelpunkt steht, wird als „Usurpator“ oder „Thronräuber“ bezeichnet (</w:t>
      </w:r>
      <w:r>
        <w:rPr>
          <w:rFonts w:ascii="Times New Roman" w:hAnsi="Times New Roman" w:cs="Times New Roman"/>
          <w:smallCaps/>
          <w:sz w:val="24"/>
          <w:szCs w:val="24"/>
        </w:rPr>
        <w:t>Grillo</w:t>
      </w:r>
      <w:r>
        <w:rPr>
          <w:rFonts w:ascii="Times New Roman" w:hAnsi="Times New Roman" w:cs="Times New Roman"/>
          <w:sz w:val="24"/>
          <w:szCs w:val="24"/>
        </w:rPr>
        <w:t xml:space="preserve"> und </w:t>
      </w:r>
      <w:r>
        <w:rPr>
          <w:rFonts w:ascii="Times New Roman" w:hAnsi="Times New Roman" w:cs="Times New Roman"/>
          <w:smallCaps/>
          <w:sz w:val="24"/>
          <w:szCs w:val="24"/>
        </w:rPr>
        <w:t>Wildman</w:t>
      </w:r>
      <w:r>
        <w:rPr>
          <w:rFonts w:ascii="Times New Roman" w:hAnsi="Times New Roman" w:cs="Times New Roman"/>
          <w:sz w:val="24"/>
          <w:szCs w:val="24"/>
        </w:rPr>
        <w:t xml:space="preserve"> 1991: 402). Dies hängt auch mit </w:t>
      </w:r>
      <w:r>
        <w:rPr>
          <w:rFonts w:ascii="Times New Roman" w:hAnsi="Times New Roman" w:cs="Times New Roman"/>
          <w:i/>
          <w:iCs/>
          <w:sz w:val="24"/>
          <w:szCs w:val="24"/>
        </w:rPr>
        <w:t>system-justifying beliefs</w:t>
      </w:r>
      <w:r>
        <w:rPr>
          <w:rFonts w:ascii="Times New Roman" w:hAnsi="Times New Roman" w:cs="Times New Roman"/>
          <w:sz w:val="24"/>
          <w:szCs w:val="24"/>
        </w:rPr>
        <w:t xml:space="preserve"> zusammen, die durch den Wechsel der Aufmerksamkeit verletzt werden. Diese Glaubenssätze rechtfertigen ungleiche Beziehungsstrukturen und äußern sich z.B. durch einen naturalistischen Fehlschluss, die existenten Sozialstrukturen wären eine angemessene Norm, fair und unveränderbar, und den Wunsch diese Strukturen aufrecht zu erhalten, um Privilegien nicht zu verlieren (</w:t>
      </w:r>
      <w:r>
        <w:rPr>
          <w:rFonts w:ascii="Times New Roman" w:hAnsi="Times New Roman" w:cs="Times New Roman"/>
          <w:smallCaps/>
          <w:sz w:val="24"/>
          <w:szCs w:val="24"/>
        </w:rPr>
        <w:t>O’Brien</w:t>
      </w:r>
      <w:r>
        <w:rPr>
          <w:rFonts w:ascii="Times New Roman" w:hAnsi="Times New Roman" w:cs="Times New Roman"/>
          <w:sz w:val="24"/>
          <w:szCs w:val="24"/>
        </w:rPr>
        <w:t xml:space="preserve"> und </w:t>
      </w:r>
      <w:r>
        <w:rPr>
          <w:rFonts w:ascii="Times New Roman" w:hAnsi="Times New Roman" w:cs="Times New Roman"/>
          <w:smallCaps/>
          <w:sz w:val="24"/>
          <w:szCs w:val="24"/>
        </w:rPr>
        <w:t>Major</w:t>
      </w:r>
      <w:r>
        <w:rPr>
          <w:rFonts w:ascii="Times New Roman" w:hAnsi="Times New Roman" w:cs="Times New Roman"/>
          <w:sz w:val="24"/>
          <w:szCs w:val="24"/>
        </w:rPr>
        <w:t xml:space="preserve"> 2009: 427, 432). </w:t>
      </w:r>
      <w:r>
        <w:rPr>
          <w:rFonts w:ascii="Times New Roman" w:hAnsi="Times New Roman" w:cs="Times New Roman"/>
          <w:sz w:val="24"/>
          <w:szCs w:val="24"/>
          <w:lang w:val="en-US"/>
        </w:rPr>
        <w:t xml:space="preserve">„Feelings of personal entitlement can lead members of high-status </w:t>
      </w:r>
      <w:r>
        <w:rPr>
          <w:rFonts w:ascii="Times New Roman" w:hAnsi="Times New Roman" w:cs="Times New Roman"/>
          <w:sz w:val="24"/>
          <w:szCs w:val="24"/>
          <w:lang w:val="en-US"/>
        </w:rPr>
        <w:lastRenderedPageBreak/>
        <w:t>groups to be blind to seeing when they are unfairly over-benefited, allow them to justify their privileged position, and lead them to regard efforts to ‘level the playing field’ as grossly unjust” (</w:t>
      </w:r>
      <w:r>
        <w:rPr>
          <w:rFonts w:ascii="Times New Roman" w:hAnsi="Times New Roman" w:cs="Times New Roman"/>
          <w:smallCaps/>
          <w:sz w:val="24"/>
          <w:szCs w:val="24"/>
          <w:lang w:val="en-US"/>
        </w:rPr>
        <w:t xml:space="preserve">O’Brien </w:t>
      </w:r>
      <w:r>
        <w:rPr>
          <w:rFonts w:ascii="Times New Roman" w:hAnsi="Times New Roman" w:cs="Times New Roman"/>
          <w:sz w:val="24"/>
          <w:szCs w:val="24"/>
          <w:lang w:val="en-US"/>
        </w:rPr>
        <w:t xml:space="preserve">und </w:t>
      </w:r>
      <w:r>
        <w:rPr>
          <w:rFonts w:ascii="Times New Roman" w:hAnsi="Times New Roman" w:cs="Times New Roman"/>
          <w:smallCaps/>
          <w:sz w:val="24"/>
          <w:szCs w:val="24"/>
          <w:lang w:val="en-US"/>
        </w:rPr>
        <w:t>Major</w:t>
      </w:r>
      <w:r>
        <w:rPr>
          <w:rFonts w:ascii="Times New Roman" w:hAnsi="Times New Roman" w:cs="Times New Roman"/>
          <w:sz w:val="24"/>
          <w:szCs w:val="24"/>
          <w:lang w:val="en-US"/>
        </w:rPr>
        <w:t xml:space="preserve"> 2009: 430). </w:t>
      </w:r>
      <w:r>
        <w:rPr>
          <w:rFonts w:ascii="Times New Roman" w:hAnsi="Times New Roman" w:cs="Times New Roman"/>
          <w:sz w:val="24"/>
          <w:szCs w:val="24"/>
        </w:rPr>
        <w:t xml:space="preserve">Bezieht man dies also auf das Problem der Wahrnehmung von Misandrie durch Post-/Anti-Feminist*innen, so zeigt dies, dass feministischer Aktivismus Frauen auf die „Bühne“ bringt. Damit geraten Männer aus dem Zentrum. Ihr Rechtfertigungssystem gerät dadurch ins Wanken, da die patriarchale Gesellschaft als Norm angesehen wird. Die zuvor genossenen Privilegien scheinen zu verschwinden. In Wahrheit allerdings verwandeln sich diese Privilegien in Möglichkeiten, die nun nicht nur von der dominanten, sondern auch von der nicht-dominanten Gruppe genutzt werden können.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highlight w:val="lightGray"/>
        </w:rPr>
        <w:t xml:space="preserve">Es existiert innerhalb dieses </w:t>
      </w:r>
      <w:r>
        <w:rPr>
          <w:rFonts w:ascii="Times New Roman" w:hAnsi="Times New Roman" w:cs="Times New Roman"/>
          <w:i/>
          <w:iCs/>
          <w:sz w:val="24"/>
          <w:szCs w:val="24"/>
          <w:highlight w:val="lightGray"/>
        </w:rPr>
        <w:t>center stage problem</w:t>
      </w:r>
      <w:r>
        <w:rPr>
          <w:rFonts w:ascii="Times New Roman" w:hAnsi="Times New Roman" w:cs="Times New Roman"/>
          <w:sz w:val="24"/>
          <w:szCs w:val="24"/>
          <w:highlight w:val="lightGray"/>
        </w:rPr>
        <w:t>s auch das Problem der Analogie. Selbst wenn die dominante Gruppe versucht die Problematik der benachteiligten Gruppen zu verstehen und Analogien zu ziehen (in Grillos und Wildmans Fall war es der „hinkende“ Vergleich zwischen Rassismus und Sexismus), so bleibt es letztlich nur beim Verständnis der Analogie, nicht die des gesamten Ausmaßes. Damit geht sowohl eine Marginalisierung der eigentlichen Benachteiligung, als auch das „Beanspruchen“ der verstandenen und zu verstehenden Problematik einher (</w:t>
      </w:r>
      <w:r>
        <w:rPr>
          <w:rFonts w:ascii="Times New Roman" w:hAnsi="Times New Roman" w:cs="Times New Roman"/>
          <w:smallCaps/>
          <w:sz w:val="24"/>
          <w:szCs w:val="24"/>
          <w:highlight w:val="lightGray"/>
        </w:rPr>
        <w:t>Grillo</w:t>
      </w:r>
      <w:r>
        <w:rPr>
          <w:rFonts w:ascii="Times New Roman" w:hAnsi="Times New Roman" w:cs="Times New Roman"/>
          <w:sz w:val="24"/>
          <w:szCs w:val="24"/>
          <w:highlight w:val="lightGray"/>
        </w:rPr>
        <w:t xml:space="preserve"> und </w:t>
      </w:r>
      <w:r>
        <w:rPr>
          <w:rFonts w:ascii="Times New Roman" w:hAnsi="Times New Roman" w:cs="Times New Roman"/>
          <w:smallCaps/>
          <w:sz w:val="24"/>
          <w:szCs w:val="24"/>
          <w:highlight w:val="lightGray"/>
        </w:rPr>
        <w:t>Wildman</w:t>
      </w:r>
      <w:r>
        <w:rPr>
          <w:rFonts w:ascii="Times New Roman" w:hAnsi="Times New Roman" w:cs="Times New Roman"/>
          <w:sz w:val="24"/>
          <w:szCs w:val="24"/>
          <w:highlight w:val="lightGray"/>
        </w:rPr>
        <w:t xml:space="preserve"> 1991: 406-407).</w:t>
      </w:r>
      <w:r>
        <w:rPr>
          <w:rFonts w:ascii="Times New Roman" w:hAnsi="Times New Roman" w:cs="Times New Roman"/>
          <w:sz w:val="24"/>
          <w:szCs w:val="24"/>
        </w:rPr>
        <w:t xml:space="preserve">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Auf den ersten Blick scheint Misandrie also keineswegs eine Antwort auf Misogynie zu sein. Es ist nur in den Augen der Privilegierten ein unerwartetes Brechen mit vorangegangenen Gewohnheiten, die als soziale Normen verstanden wurden.</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 Theorie des Cyberfeminismus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Inzwischen befinden wir uns in einer postkolonialen, postfeministischen Gesellschaft. Diese erweckt den Eindruck, Umdenken fordernde Ideologien wie der Feminismus wären aktuell obsolet, da das Umdenken bereits eingetreten ist. </w:t>
      </w:r>
      <w:r>
        <w:rPr>
          <w:rFonts w:ascii="Times New Roman" w:hAnsi="Times New Roman" w:cs="Times New Roman"/>
          <w:smallCaps/>
          <w:sz w:val="24"/>
          <w:szCs w:val="24"/>
        </w:rPr>
        <w:t>Fernandez</w:t>
      </w:r>
      <w:r>
        <w:rPr>
          <w:rFonts w:ascii="Times New Roman" w:hAnsi="Times New Roman" w:cs="Times New Roman"/>
          <w:sz w:val="24"/>
          <w:szCs w:val="24"/>
        </w:rPr>
        <w:t xml:space="preserve"> und </w:t>
      </w:r>
      <w:r>
        <w:rPr>
          <w:rFonts w:ascii="Times New Roman" w:hAnsi="Times New Roman" w:cs="Times New Roman"/>
          <w:smallCaps/>
          <w:sz w:val="24"/>
          <w:szCs w:val="24"/>
        </w:rPr>
        <w:t>Wilding</w:t>
      </w:r>
      <w:r>
        <w:rPr>
          <w:rFonts w:ascii="Times New Roman" w:hAnsi="Times New Roman" w:cs="Times New Roman"/>
          <w:sz w:val="24"/>
          <w:szCs w:val="24"/>
        </w:rPr>
        <w:t xml:space="preserve"> (2002: 17) halten fest, dass dem aber nicht so ist und eine globale, zeitgerechte Art des Feminismus nötig ist. Diese neue Form soll erkennen, dass inzwischen das gesamte Leben (also Erziehung, Sozialisierung, Alltag) einer Person von Technologie beeinflusst wird. Cyberfeminist*innen verstehen unter dieser Form seit den 1990er Jahren den Cyberfeminismus, bzw. Technofeminismus.</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Anders als andere Strömungen des Feminismus, hat der Cyberfeminismus keine einheitliche Richtung oder Forderung. Stattdessen könnte man Cyberfeminismus als eine Art Sammelbegriff verstehen (</w:t>
      </w:r>
      <w:r>
        <w:rPr>
          <w:rFonts w:ascii="Times New Roman" w:hAnsi="Times New Roman" w:cs="Times New Roman"/>
          <w:smallCaps/>
          <w:sz w:val="24"/>
          <w:szCs w:val="24"/>
        </w:rPr>
        <w:t>Fernandez</w:t>
      </w:r>
      <w:r>
        <w:rPr>
          <w:rFonts w:ascii="Times New Roman" w:hAnsi="Times New Roman" w:cs="Times New Roman"/>
          <w:sz w:val="24"/>
          <w:szCs w:val="24"/>
        </w:rPr>
        <w:t xml:space="preserve"> und </w:t>
      </w:r>
      <w:r>
        <w:rPr>
          <w:rFonts w:ascii="Times New Roman" w:hAnsi="Times New Roman" w:cs="Times New Roman"/>
          <w:smallCaps/>
          <w:sz w:val="24"/>
          <w:szCs w:val="24"/>
        </w:rPr>
        <w:t>Wilding</w:t>
      </w:r>
      <w:r>
        <w:rPr>
          <w:rFonts w:ascii="Times New Roman" w:hAnsi="Times New Roman" w:cs="Times New Roman"/>
          <w:sz w:val="24"/>
          <w:szCs w:val="24"/>
        </w:rPr>
        <w:t xml:space="preserve"> 2002: 18), weswegen auch oft von Cyberfeminismen im Plural gesprochen wird (</w:t>
      </w:r>
      <w:r>
        <w:rPr>
          <w:rFonts w:ascii="Times New Roman" w:hAnsi="Times New Roman" w:cs="Times New Roman"/>
          <w:smallCaps/>
          <w:sz w:val="24"/>
          <w:szCs w:val="24"/>
        </w:rPr>
        <w:t>Milford</w:t>
      </w:r>
      <w:r>
        <w:rPr>
          <w:rFonts w:ascii="Times New Roman" w:hAnsi="Times New Roman" w:cs="Times New Roman"/>
          <w:sz w:val="24"/>
          <w:szCs w:val="24"/>
        </w:rPr>
        <w:t xml:space="preserve"> 2015: 57). Dieser verbindet die </w:t>
      </w:r>
      <w:r>
        <w:rPr>
          <w:rFonts w:ascii="Times New Roman" w:hAnsi="Times New Roman" w:cs="Times New Roman"/>
          <w:sz w:val="24"/>
          <w:szCs w:val="24"/>
        </w:rPr>
        <w:lastRenderedPageBreak/>
        <w:t>Themen von Feminismus, Gender, Körper und Technologie (</w:t>
      </w:r>
      <w:r>
        <w:rPr>
          <w:rFonts w:ascii="Times New Roman" w:hAnsi="Times New Roman" w:cs="Times New Roman"/>
          <w:smallCaps/>
          <w:sz w:val="24"/>
          <w:szCs w:val="24"/>
        </w:rPr>
        <w:t>Daniels</w:t>
      </w:r>
      <w:r>
        <w:rPr>
          <w:rFonts w:ascii="Times New Roman" w:hAnsi="Times New Roman" w:cs="Times New Roman"/>
          <w:sz w:val="24"/>
          <w:szCs w:val="24"/>
        </w:rPr>
        <w:t xml:space="preserve"> 2009: 102) und der Aufforderung an Frauen, ihre soziale Klasse online, sowie offline durch die Aneignung und Kontrolle von virtueller Technologie zu stärken (</w:t>
      </w:r>
      <w:r>
        <w:rPr>
          <w:rFonts w:ascii="Times New Roman" w:hAnsi="Times New Roman" w:cs="Times New Roman"/>
          <w:smallCaps/>
          <w:sz w:val="24"/>
          <w:szCs w:val="24"/>
        </w:rPr>
        <w:t>Milford</w:t>
      </w:r>
      <w:r>
        <w:rPr>
          <w:rFonts w:ascii="Times New Roman" w:hAnsi="Times New Roman" w:cs="Times New Roman"/>
          <w:sz w:val="24"/>
          <w:szCs w:val="24"/>
        </w:rPr>
        <w:t xml:space="preserve"> 2015: 57, 61). Diese Theorien können in ihrer Pluralität auch konträr zu einander sein. </w:t>
      </w:r>
      <w:r>
        <w:rPr>
          <w:rFonts w:ascii="Times New Roman" w:hAnsi="Times New Roman" w:cs="Times New Roman"/>
          <w:sz w:val="24"/>
          <w:szCs w:val="24"/>
          <w:lang w:val="en-US"/>
        </w:rPr>
        <w:t>So erklären einige Cyberfeminist*innen das Internet, bzw. das Cyberspace als „[…] effective medium for resisting repressive gender regimes and enacting equality, while others have called into question such claims” (</w:t>
      </w:r>
      <w:r>
        <w:rPr>
          <w:rFonts w:ascii="Times New Roman" w:hAnsi="Times New Roman" w:cs="Times New Roman"/>
          <w:smallCaps/>
          <w:sz w:val="24"/>
          <w:szCs w:val="24"/>
          <w:lang w:val="en-US"/>
        </w:rPr>
        <w:t>Daniels</w:t>
      </w:r>
      <w:r>
        <w:rPr>
          <w:rFonts w:ascii="Times New Roman" w:hAnsi="Times New Roman" w:cs="Times New Roman"/>
          <w:sz w:val="24"/>
          <w:szCs w:val="24"/>
          <w:lang w:val="en-US"/>
        </w:rPr>
        <w:t xml:space="preserve"> 2009: 101). „Heir to both postfeminism and poststructuralism, cyberfeminism has neither welcomed a definition nor a clear political positioning within feminisms“ (</w:t>
      </w:r>
      <w:r>
        <w:rPr>
          <w:rFonts w:ascii="Times New Roman" w:hAnsi="Times New Roman" w:cs="Times New Roman"/>
          <w:smallCaps/>
          <w:sz w:val="24"/>
          <w:szCs w:val="24"/>
          <w:lang w:val="en-US"/>
        </w:rPr>
        <w:t>Fernandez</w:t>
      </w:r>
      <w:r>
        <w:rPr>
          <w:rFonts w:ascii="Times New Roman" w:hAnsi="Times New Roman" w:cs="Times New Roman"/>
          <w:sz w:val="24"/>
          <w:szCs w:val="24"/>
          <w:lang w:val="en-US"/>
        </w:rPr>
        <w:t xml:space="preserve"> und </w:t>
      </w:r>
      <w:r>
        <w:rPr>
          <w:rFonts w:ascii="Times New Roman" w:hAnsi="Times New Roman" w:cs="Times New Roman"/>
          <w:smallCaps/>
          <w:sz w:val="24"/>
          <w:szCs w:val="24"/>
          <w:lang w:val="en-US"/>
        </w:rPr>
        <w:t>Wilding</w:t>
      </w:r>
      <w:r>
        <w:rPr>
          <w:rFonts w:ascii="Times New Roman" w:hAnsi="Times New Roman" w:cs="Times New Roman"/>
          <w:sz w:val="24"/>
          <w:szCs w:val="24"/>
          <w:lang w:val="en-US"/>
        </w:rPr>
        <w:t xml:space="preserve"> 2002: 18). </w:t>
      </w:r>
      <w:r>
        <w:rPr>
          <w:rFonts w:ascii="Times New Roman" w:hAnsi="Times New Roman" w:cs="Times New Roman"/>
          <w:sz w:val="24"/>
          <w:szCs w:val="24"/>
        </w:rPr>
        <w:t>Genau dies ist aber auch ein bedeutender Kritikpunkt am Cyberfeminismus: Ihm fehlt der Rahmen, der ihm Form gibt. Andernfalls läuft der Cyberfeminismus Gefahr nur als Gedankengut zu wirken (</w:t>
      </w:r>
      <w:r>
        <w:rPr>
          <w:rFonts w:ascii="Times New Roman" w:hAnsi="Times New Roman" w:cs="Times New Roman"/>
          <w:smallCaps/>
          <w:sz w:val="24"/>
          <w:szCs w:val="24"/>
        </w:rPr>
        <w:t>Daniels</w:t>
      </w:r>
      <w:r>
        <w:rPr>
          <w:rFonts w:ascii="Times New Roman" w:hAnsi="Times New Roman" w:cs="Times New Roman"/>
          <w:sz w:val="24"/>
          <w:szCs w:val="24"/>
        </w:rPr>
        <w:t xml:space="preserve"> 2009: 103; </w:t>
      </w:r>
      <w:r>
        <w:rPr>
          <w:rFonts w:ascii="Times New Roman" w:hAnsi="Times New Roman" w:cs="Times New Roman"/>
          <w:smallCaps/>
          <w:sz w:val="24"/>
          <w:szCs w:val="24"/>
        </w:rPr>
        <w:t>Avanessian</w:t>
      </w:r>
      <w:r>
        <w:rPr>
          <w:rFonts w:ascii="Times New Roman" w:hAnsi="Times New Roman" w:cs="Times New Roman"/>
          <w:sz w:val="24"/>
          <w:szCs w:val="24"/>
        </w:rPr>
        <w:t xml:space="preserve"> und </w:t>
      </w:r>
      <w:r>
        <w:rPr>
          <w:rFonts w:ascii="Times New Roman" w:hAnsi="Times New Roman" w:cs="Times New Roman"/>
          <w:smallCaps/>
          <w:sz w:val="24"/>
          <w:szCs w:val="24"/>
        </w:rPr>
        <w:t>Hester</w:t>
      </w:r>
      <w:r>
        <w:rPr>
          <w:rFonts w:ascii="Times New Roman" w:hAnsi="Times New Roman" w:cs="Times New Roman"/>
          <w:sz w:val="24"/>
          <w:szCs w:val="24"/>
        </w:rPr>
        <w:t xml:space="preserve"> 2015: 10). Gleichzeitig spaltet diese Problematik auch „Cyber-“ und „-feminismus“; da scheinbar kein starker Feminismus dahintersteckt. Viele Personen verschreiben sich daher der Bezeichnung „Cyberfeminist*in“, aber deklarieren sich selbst nicht als „Feminist*in“ (</w:t>
      </w:r>
      <w:r>
        <w:rPr>
          <w:rFonts w:ascii="Times New Roman" w:hAnsi="Times New Roman" w:cs="Times New Roman"/>
          <w:smallCaps/>
          <w:sz w:val="24"/>
          <w:szCs w:val="24"/>
        </w:rPr>
        <w:t xml:space="preserve">Fernandez </w:t>
      </w:r>
      <w:r>
        <w:rPr>
          <w:rFonts w:ascii="Times New Roman" w:hAnsi="Times New Roman" w:cs="Times New Roman"/>
          <w:sz w:val="24"/>
          <w:szCs w:val="24"/>
        </w:rPr>
        <w:t xml:space="preserve">und </w:t>
      </w:r>
      <w:r>
        <w:rPr>
          <w:rFonts w:ascii="Times New Roman" w:hAnsi="Times New Roman" w:cs="Times New Roman"/>
          <w:smallCaps/>
          <w:sz w:val="24"/>
          <w:szCs w:val="24"/>
        </w:rPr>
        <w:t>Wilding</w:t>
      </w:r>
      <w:r>
        <w:rPr>
          <w:rFonts w:ascii="Times New Roman" w:hAnsi="Times New Roman" w:cs="Times New Roman"/>
          <w:sz w:val="24"/>
          <w:szCs w:val="24"/>
        </w:rPr>
        <w:t xml:space="preserve"> 2002: 19) – und dass, obwohl Cyberfeminismus sehr wohl feministische Grundideen vertritt.</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 Entstehung in den 1990er Jahren</w:t>
      </w:r>
    </w:p>
    <w:p>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Die erste Welle des Cyberfeminismus eint die Vorstellung eines Cyber-Utopias, in welcher die geschlechtliche Identität keine Priorität mehr innehat, und die post-körperliche Frau gegen das reale Patriarchat antritt (</w:t>
      </w:r>
      <w:r>
        <w:rPr>
          <w:rFonts w:ascii="Times New Roman" w:hAnsi="Times New Roman" w:cs="Times New Roman"/>
          <w:smallCaps/>
          <w:sz w:val="24"/>
          <w:szCs w:val="24"/>
        </w:rPr>
        <w:t>Daniels</w:t>
      </w:r>
      <w:r>
        <w:rPr>
          <w:rFonts w:ascii="Times New Roman" w:hAnsi="Times New Roman" w:cs="Times New Roman"/>
          <w:sz w:val="24"/>
          <w:szCs w:val="24"/>
        </w:rPr>
        <w:t xml:space="preserve"> 2009: 102; </w:t>
      </w:r>
      <w:r>
        <w:rPr>
          <w:rFonts w:ascii="Times New Roman" w:hAnsi="Times New Roman" w:cs="Times New Roman"/>
          <w:smallCaps/>
          <w:sz w:val="24"/>
          <w:szCs w:val="24"/>
        </w:rPr>
        <w:t>Avanessian</w:t>
      </w:r>
      <w:r>
        <w:rPr>
          <w:rFonts w:ascii="Times New Roman" w:hAnsi="Times New Roman" w:cs="Times New Roman"/>
          <w:sz w:val="24"/>
          <w:szCs w:val="24"/>
        </w:rPr>
        <w:t xml:space="preserve"> und </w:t>
      </w:r>
      <w:r>
        <w:rPr>
          <w:rFonts w:ascii="Times New Roman" w:hAnsi="Times New Roman" w:cs="Times New Roman"/>
          <w:smallCaps/>
          <w:sz w:val="24"/>
          <w:szCs w:val="24"/>
        </w:rPr>
        <w:t>Hester</w:t>
      </w:r>
      <w:r>
        <w:rPr>
          <w:rFonts w:ascii="Times New Roman" w:hAnsi="Times New Roman" w:cs="Times New Roman"/>
          <w:sz w:val="24"/>
          <w:szCs w:val="24"/>
        </w:rPr>
        <w:t xml:space="preserve"> 2015: 9). Das Cyberspace bietet die Möglichkeit „to disrupt conventional patriarchal hierarchies, colonial power interests, and militarized, commercialized technologies of advanced capitalism“ (</w:t>
      </w:r>
      <w:r>
        <w:rPr>
          <w:rFonts w:ascii="Times New Roman" w:hAnsi="Times New Roman" w:cs="Times New Roman"/>
          <w:smallCaps/>
          <w:sz w:val="24"/>
          <w:szCs w:val="24"/>
        </w:rPr>
        <w:t>Milford</w:t>
      </w:r>
      <w:r>
        <w:rPr>
          <w:rFonts w:ascii="Times New Roman" w:hAnsi="Times New Roman" w:cs="Times New Roman"/>
          <w:sz w:val="24"/>
          <w:szCs w:val="24"/>
        </w:rPr>
        <w:t xml:space="preserve"> 2015: 55), um letztendlich Ungerechtigkeiten aufzudecken und Gleichberechtigung zu erreichen. </w:t>
      </w:r>
      <w:r>
        <w:rPr>
          <w:rFonts w:ascii="Times New Roman" w:hAnsi="Times New Roman" w:cs="Times New Roman"/>
          <w:sz w:val="24"/>
          <w:szCs w:val="24"/>
          <w:lang w:val="en-US"/>
        </w:rPr>
        <w:t>Diese Ungerechtigkeiten existieren sowohl online, als auch offline. „In other words, cyberfemnism necessitates an awareness of how power plays not only in different locations online but also in institutions that shape the layout and experience of cyberspace“ (</w:t>
      </w:r>
      <w:r>
        <w:rPr>
          <w:rFonts w:ascii="Times New Roman" w:hAnsi="Times New Roman" w:cs="Times New Roman"/>
          <w:smallCaps/>
          <w:sz w:val="24"/>
          <w:szCs w:val="24"/>
          <w:lang w:val="en-US"/>
        </w:rPr>
        <w:t>Gajjala</w:t>
      </w:r>
      <w:r>
        <w:rPr>
          <w:rFonts w:ascii="Times New Roman" w:hAnsi="Times New Roman" w:cs="Times New Roman"/>
          <w:sz w:val="24"/>
          <w:szCs w:val="24"/>
          <w:lang w:val="en-US"/>
        </w:rPr>
        <w:t xml:space="preserve"> und </w:t>
      </w:r>
      <w:r>
        <w:rPr>
          <w:rFonts w:ascii="Times New Roman" w:hAnsi="Times New Roman" w:cs="Times New Roman"/>
          <w:smallCaps/>
          <w:sz w:val="24"/>
          <w:szCs w:val="24"/>
          <w:lang w:val="en-US"/>
        </w:rPr>
        <w:t>Oh</w:t>
      </w:r>
      <w:r>
        <w:rPr>
          <w:rFonts w:ascii="Times New Roman" w:hAnsi="Times New Roman" w:cs="Times New Roman"/>
          <w:sz w:val="24"/>
          <w:szCs w:val="24"/>
          <w:lang w:val="en-US"/>
        </w:rPr>
        <w:t xml:space="preserve"> 2012: 1). </w:t>
      </w:r>
      <w:r>
        <w:rPr>
          <w:rFonts w:ascii="Times New Roman" w:hAnsi="Times New Roman" w:cs="Times New Roman"/>
          <w:sz w:val="24"/>
          <w:szCs w:val="24"/>
        </w:rPr>
        <w:t xml:space="preserve">Durch die Körperlosigkeit, die Nutzer*innen im Cyberspace annehmen, verliert die dortige „Gesellschaft“ durch die Anonymität innerhalb dieses virtuellen, digitalen Raums ihre Klassen- und Geschlechterunterschiede. Gleichzeitig ist es dort ebenso möglich Geschlechteridentitäten und seine Sexualität auszuleben, bzw. auszuprobieren. Das Internet wird zu einem egalitären System, in welches man vor Diskriminierung und Anfeindung aus der Realität treten kann. Kernelement der ersten cyberfeministischen Vorstellung ist also die Körperlosigkeit innerhalb des Cyberspace‘. </w:t>
      </w:r>
      <w:r>
        <w:rPr>
          <w:rFonts w:ascii="Times New Roman" w:hAnsi="Times New Roman" w:cs="Times New Roman"/>
          <w:sz w:val="24"/>
          <w:szCs w:val="24"/>
        </w:rPr>
        <w:lastRenderedPageBreak/>
        <w:t>Nutzer*innen, insbesondere Frauen, werden nicht mehr aufgrund ihres Geschlechts oder ihrer Herkunft beurteilt, sondern konstruieren ihre eigene, neue und freie Identität (</w:t>
      </w:r>
      <w:r>
        <w:rPr>
          <w:rFonts w:ascii="Times New Roman" w:hAnsi="Times New Roman" w:cs="Times New Roman"/>
          <w:smallCaps/>
          <w:sz w:val="24"/>
          <w:szCs w:val="24"/>
        </w:rPr>
        <w:t>Fernandez</w:t>
      </w:r>
      <w:r>
        <w:rPr>
          <w:rFonts w:ascii="Times New Roman" w:hAnsi="Times New Roman" w:cs="Times New Roman"/>
          <w:sz w:val="24"/>
          <w:szCs w:val="24"/>
        </w:rPr>
        <w:t xml:space="preserve"> 2002: 29;</w:t>
      </w:r>
      <w:r>
        <w:rPr>
          <w:rFonts w:ascii="Times New Roman" w:hAnsi="Times New Roman" w:cs="Times New Roman"/>
          <w:smallCaps/>
          <w:sz w:val="24"/>
          <w:szCs w:val="24"/>
        </w:rPr>
        <w:t xml:space="preserve"> Brophy</w:t>
      </w:r>
      <w:r>
        <w:rPr>
          <w:rFonts w:ascii="Times New Roman" w:hAnsi="Times New Roman" w:cs="Times New Roman"/>
          <w:sz w:val="24"/>
          <w:szCs w:val="24"/>
        </w:rPr>
        <w:t xml:space="preserve"> 2010: 929-930). </w:t>
      </w:r>
      <w:r>
        <w:rPr>
          <w:rFonts w:ascii="Times New Roman" w:hAnsi="Times New Roman" w:cs="Times New Roman"/>
          <w:sz w:val="24"/>
          <w:szCs w:val="24"/>
          <w:lang w:val="en-US"/>
        </w:rPr>
        <w:t>„The internet can be viewed as a gathering place for feminists and as a place to enact or perform gender subversions. It is a place where women – typically limited by their physicality and its associated bodily subjugation – can experiment with fewer social or bodily consequences” (</w:t>
      </w:r>
      <w:r>
        <w:rPr>
          <w:rFonts w:ascii="Times New Roman" w:hAnsi="Times New Roman" w:cs="Times New Roman"/>
          <w:smallCaps/>
          <w:sz w:val="24"/>
          <w:szCs w:val="24"/>
          <w:lang w:val="en-US"/>
        </w:rPr>
        <w:t>Brophy</w:t>
      </w:r>
      <w:r>
        <w:rPr>
          <w:rFonts w:ascii="Times New Roman" w:hAnsi="Times New Roman" w:cs="Times New Roman"/>
          <w:sz w:val="24"/>
          <w:szCs w:val="24"/>
          <w:lang w:val="en-US"/>
        </w:rPr>
        <w:t xml:space="preserve"> 2010: 931). </w:t>
      </w:r>
      <w:r>
        <w:rPr>
          <w:rFonts w:ascii="Times New Roman" w:hAnsi="Times New Roman" w:cs="Times New Roman"/>
          <w:sz w:val="24"/>
          <w:szCs w:val="24"/>
        </w:rPr>
        <w:t>Diese fabrizierte Utopie hat jedoch einen Schwachpunkt: Fehlt der Diskurs über Geschlechter, Sexualität, Ethnie und Stereotype, ist es nicht möglich aus diesen Stereotypen auszubrechen und stattdessen werden diese im Internet erneut wiedergegeben. Die Auflösung der realen, und Konstruktion der digitalen Identität führt also nicht automatisch zu einer egalitären Internetgesellschaft, wie es die erste Welle des Cyberfeminismus annimmt. Stattdessen wird eine primär weiße, heterosexuelle Gesellschaft impliziert, die weder die tatsächliche, noch die digitale Realität korrekt repräsentiert (</w:t>
      </w:r>
      <w:r>
        <w:rPr>
          <w:rFonts w:ascii="Times New Roman" w:hAnsi="Times New Roman" w:cs="Times New Roman"/>
          <w:smallCaps/>
          <w:sz w:val="24"/>
          <w:szCs w:val="24"/>
        </w:rPr>
        <w:t>Brophy</w:t>
      </w:r>
      <w:r>
        <w:rPr>
          <w:rFonts w:ascii="Times New Roman" w:hAnsi="Times New Roman" w:cs="Times New Roman"/>
          <w:sz w:val="24"/>
          <w:szCs w:val="24"/>
        </w:rPr>
        <w:t xml:space="preserve"> 2010: 931). </w:t>
      </w:r>
      <w:r>
        <w:rPr>
          <w:rFonts w:ascii="Times New Roman" w:hAnsi="Times New Roman" w:cs="Times New Roman"/>
          <w:smallCaps/>
          <w:sz w:val="24"/>
          <w:szCs w:val="24"/>
          <w:lang w:val="en-US"/>
        </w:rPr>
        <w:t>Brophy</w:t>
      </w:r>
      <w:r>
        <w:rPr>
          <w:rFonts w:ascii="Times New Roman" w:hAnsi="Times New Roman" w:cs="Times New Roman"/>
          <w:sz w:val="24"/>
          <w:szCs w:val="24"/>
          <w:lang w:val="en-US"/>
        </w:rPr>
        <w:t xml:space="preserve"> (2010: 932) schlägt vor:</w:t>
      </w:r>
    </w:p>
    <w:p>
      <w:pPr>
        <w:spacing w:line="360" w:lineRule="auto"/>
        <w:jc w:val="both"/>
        <w:rPr>
          <w:rFonts w:ascii="Times New Roman" w:hAnsi="Times New Roman" w:cs="Times New Roman"/>
          <w:sz w:val="24"/>
          <w:szCs w:val="24"/>
          <w:lang w:val="en-US"/>
        </w:rPr>
      </w:pPr>
    </w:p>
    <w:p>
      <w:pPr>
        <w:spacing w:line="360" w:lineRule="auto"/>
        <w:ind w:left="567"/>
        <w:jc w:val="both"/>
        <w:rPr>
          <w:rFonts w:ascii="Times New Roman" w:hAnsi="Times New Roman" w:cs="Times New Roman"/>
          <w:sz w:val="24"/>
          <w:szCs w:val="24"/>
        </w:rPr>
      </w:pPr>
      <w:r>
        <w:rPr>
          <w:rFonts w:ascii="Times New Roman" w:hAnsi="Times New Roman" w:cs="Times New Roman"/>
          <w:sz w:val="24"/>
          <w:szCs w:val="24"/>
          <w:lang w:val="en-US"/>
        </w:rPr>
        <w:t xml:space="preserve">Cyberfeminists should not understand cyberspace as a utopian replacement for the spaces of lived experiences, but rather as an augmentation of those spaces. These complex interrelations should not be reduced to a bifurcation of online and offline where either is considered entirely separate from and unaffected by the other; rather, the material conditions of the offline world need to remain visible to scholars. </w:t>
      </w:r>
      <w:r>
        <w:rPr>
          <w:rFonts w:ascii="Times New Roman" w:hAnsi="Times New Roman" w:cs="Times New Roman"/>
          <w:sz w:val="24"/>
          <w:szCs w:val="24"/>
        </w:rPr>
        <w:t>(</w:t>
      </w:r>
      <w:r>
        <w:rPr>
          <w:rFonts w:ascii="Times New Roman" w:hAnsi="Times New Roman" w:cs="Times New Roman"/>
          <w:smallCaps/>
          <w:sz w:val="24"/>
          <w:szCs w:val="24"/>
        </w:rPr>
        <w:t>Brophy</w:t>
      </w:r>
      <w:r>
        <w:rPr>
          <w:rFonts w:ascii="Times New Roman" w:hAnsi="Times New Roman" w:cs="Times New Roman"/>
          <w:sz w:val="24"/>
          <w:szCs w:val="24"/>
        </w:rPr>
        <w:t xml:space="preserve"> 2010: 932)</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Die ideelle Vorstellung des Cyberspace‘ soll also nicht mehr als eigenständiger Raum betrachtet werden, sondern als Erweiterung der tatsächlichen Realität, in der Gleichheit angestrebt wird.</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Eine weitere Schwäche des Cyberfeminismus ist die Annahme eines strikten Dualismus‘, der Geist und Körper voneinander trennt und damit die Lösung vom Körper beim Eintritt in das Cyberspace überhaupt möglich macht. Diese Trennung konstituiert allerdings, der Körper wäre nicht notwendig für den Eintritt in das Cyberspace (</w:t>
      </w:r>
      <w:r>
        <w:rPr>
          <w:rFonts w:ascii="Times New Roman" w:hAnsi="Times New Roman" w:cs="Times New Roman"/>
          <w:smallCaps/>
          <w:sz w:val="24"/>
          <w:szCs w:val="24"/>
        </w:rPr>
        <w:t>Brophy</w:t>
      </w:r>
      <w:r>
        <w:rPr>
          <w:rFonts w:ascii="Times New Roman" w:hAnsi="Times New Roman" w:cs="Times New Roman"/>
          <w:sz w:val="24"/>
          <w:szCs w:val="24"/>
        </w:rPr>
        <w:t xml:space="preserve"> 2010: 933). </w:t>
      </w:r>
      <w:r>
        <w:rPr>
          <w:rFonts w:ascii="Times New Roman" w:hAnsi="Times New Roman" w:cs="Times New Roman"/>
          <w:smallCaps/>
          <w:sz w:val="24"/>
          <w:szCs w:val="24"/>
        </w:rPr>
        <w:t>Brophy</w:t>
      </w:r>
      <w:r>
        <w:rPr>
          <w:rFonts w:ascii="Times New Roman" w:hAnsi="Times New Roman" w:cs="Times New Roman"/>
          <w:sz w:val="24"/>
          <w:szCs w:val="24"/>
        </w:rPr>
        <w:t xml:space="preserve"> (2010: 933) stellt dem entgegen: Der Körper ist insofern notwendig, als dass er den Zugang zum Computer, zum Cyberspace möglich macht. Auch finanzielle und technologische Mittel sind neben dem eigenen Körper eine unausweichliche Voraussetzung. Erkennt man die Notwendigkeit des Körpers und der äußeren Umstände, spricht dies sehr für </w:t>
      </w:r>
      <w:r>
        <w:rPr>
          <w:rFonts w:ascii="Times New Roman" w:hAnsi="Times New Roman" w:cs="Times New Roman"/>
          <w:smallCaps/>
          <w:sz w:val="24"/>
          <w:szCs w:val="24"/>
        </w:rPr>
        <w:t>Brophy</w:t>
      </w:r>
      <w:r>
        <w:rPr>
          <w:rFonts w:ascii="Times New Roman" w:hAnsi="Times New Roman" w:cs="Times New Roman"/>
          <w:sz w:val="24"/>
          <w:szCs w:val="24"/>
        </w:rPr>
        <w:t>s Vorschlag das Cyberspace eher als Erweiterung statt als Ersatz anzusehen.</w:t>
      </w:r>
    </w:p>
    <w:p>
      <w:pPr>
        <w:spacing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Aufgrund der Körperproblematik bildeten sich zwei unterschiedliche Strömungen, die das Cyber-Utopia in dieser Hinsicht unterschiedlich interpretierten. Die erste Strömung glaubt, der Körper bliebe beim Eintritt in das Cyberspace zurück; innerhalb der Zweiten wird der </w:t>
      </w:r>
      <w:r>
        <w:rPr>
          <w:rFonts w:ascii="Times New Roman" w:hAnsi="Times New Roman" w:cs="Times New Roman"/>
          <w:sz w:val="24"/>
          <w:szCs w:val="24"/>
        </w:rPr>
        <w:lastRenderedPageBreak/>
        <w:t>Körper in das Cyberspace integriert – es entsteht ein Cyborg (</w:t>
      </w:r>
      <w:r>
        <w:rPr>
          <w:rFonts w:ascii="Times New Roman" w:hAnsi="Times New Roman" w:cs="Times New Roman"/>
          <w:smallCaps/>
          <w:sz w:val="24"/>
          <w:szCs w:val="24"/>
        </w:rPr>
        <w:t>Brophy</w:t>
      </w:r>
      <w:r>
        <w:rPr>
          <w:rFonts w:ascii="Times New Roman" w:hAnsi="Times New Roman" w:cs="Times New Roman"/>
          <w:sz w:val="24"/>
          <w:szCs w:val="24"/>
        </w:rPr>
        <w:t xml:space="preserve"> 2010: 941). Die Analogie des Cyborgs stammt von Donna Haraway. Diese stellte fest, Frauen hätten keine kollektive Identität und könnten sich nur über gemeinsame Bedingungen verbinden. Sie führte daher den Begriff der Affinität ein und beschreibt diesen in der Analogie zum Cyborg. Dieser hat ebenfalls keine klare Identität, da er ein Hybrid aus Tier, Mensch und Maschine ist (</w:t>
      </w:r>
      <w:r>
        <w:rPr>
          <w:rFonts w:ascii="Times New Roman" w:hAnsi="Times New Roman" w:cs="Times New Roman"/>
          <w:smallCaps/>
          <w:sz w:val="24"/>
          <w:szCs w:val="24"/>
        </w:rPr>
        <w:t>Fernandez</w:t>
      </w:r>
      <w:r>
        <w:rPr>
          <w:rFonts w:ascii="Times New Roman" w:hAnsi="Times New Roman" w:cs="Times New Roman"/>
          <w:sz w:val="24"/>
          <w:szCs w:val="24"/>
        </w:rPr>
        <w:t xml:space="preserve"> 2002: 31-32) und binär konstruierte Systeme in Frage stellt (</w:t>
      </w:r>
      <w:r>
        <w:rPr>
          <w:rFonts w:ascii="Times New Roman" w:hAnsi="Times New Roman" w:cs="Times New Roman"/>
          <w:smallCaps/>
          <w:sz w:val="24"/>
          <w:szCs w:val="24"/>
        </w:rPr>
        <w:t>Milford</w:t>
      </w:r>
      <w:r>
        <w:rPr>
          <w:rFonts w:ascii="Times New Roman" w:hAnsi="Times New Roman" w:cs="Times New Roman"/>
          <w:sz w:val="24"/>
          <w:szCs w:val="24"/>
        </w:rPr>
        <w:t xml:space="preserve"> 2015: 58). Diese Affinität sieht sie beispielsweise bei </w:t>
      </w:r>
      <w:r>
        <w:rPr>
          <w:rFonts w:ascii="Times New Roman" w:hAnsi="Times New Roman" w:cs="Times New Roman"/>
          <w:i/>
          <w:iCs/>
          <w:sz w:val="24"/>
          <w:szCs w:val="24"/>
        </w:rPr>
        <w:t>women of color</w:t>
      </w:r>
      <w:r>
        <w:rPr>
          <w:rFonts w:ascii="Times New Roman" w:hAnsi="Times New Roman" w:cs="Times New Roman"/>
          <w:sz w:val="24"/>
          <w:szCs w:val="24"/>
        </w:rPr>
        <w:t xml:space="preserve"> (farbige Frauen) (</w:t>
      </w:r>
      <w:r>
        <w:rPr>
          <w:rFonts w:ascii="Times New Roman" w:hAnsi="Times New Roman" w:cs="Times New Roman"/>
          <w:smallCaps/>
          <w:sz w:val="24"/>
          <w:szCs w:val="24"/>
        </w:rPr>
        <w:t>Fernandez</w:t>
      </w:r>
      <w:r>
        <w:rPr>
          <w:rFonts w:ascii="Times New Roman" w:hAnsi="Times New Roman" w:cs="Times New Roman"/>
          <w:sz w:val="24"/>
          <w:szCs w:val="24"/>
        </w:rPr>
        <w:t xml:space="preserve"> 2002: 32). </w:t>
      </w:r>
      <w:r>
        <w:rPr>
          <w:rFonts w:ascii="Times New Roman" w:hAnsi="Times New Roman" w:cs="Times New Roman"/>
          <w:sz w:val="24"/>
          <w:szCs w:val="24"/>
          <w:lang w:val="en-US"/>
        </w:rPr>
        <w:t>„Multiple postcolonial theorists uphold hybridity as the ultimate form of resistance as hybrids presumably elude classification” (</w:t>
      </w:r>
      <w:r>
        <w:rPr>
          <w:rFonts w:ascii="Times New Roman" w:hAnsi="Times New Roman" w:cs="Times New Roman"/>
          <w:smallCaps/>
          <w:sz w:val="24"/>
          <w:szCs w:val="24"/>
          <w:lang w:val="en-US"/>
        </w:rPr>
        <w:t>Fernandez</w:t>
      </w:r>
      <w:r>
        <w:rPr>
          <w:rFonts w:ascii="Times New Roman" w:hAnsi="Times New Roman" w:cs="Times New Roman"/>
          <w:sz w:val="24"/>
          <w:szCs w:val="24"/>
          <w:lang w:val="en-US"/>
        </w:rPr>
        <w:t xml:space="preserve"> 2002: 34). </w:t>
      </w: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 Cyberfeminismus 2.0 in den 2010er Jahren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Im Laufe der 2000er entwickelte sich die zweite Welle des Cyberfeminismus‘, welche sich von der Vorstellung eines Cyber-Utopia distanzierte und sich neuen Thematiken zuwandte. Jetzt waren Frauen in der Internet-Kultur präsenter; die digitale Welt hatte sich durch Social Media, Online-Spiele und weitere technologische Neuerungen stark verändert (</w:t>
      </w:r>
      <w:r>
        <w:rPr>
          <w:rFonts w:ascii="Times New Roman" w:hAnsi="Times New Roman" w:cs="Times New Roman"/>
          <w:smallCaps/>
          <w:sz w:val="24"/>
          <w:szCs w:val="24"/>
        </w:rPr>
        <w:t>Gajjala</w:t>
      </w:r>
      <w:r>
        <w:rPr>
          <w:rFonts w:ascii="Times New Roman" w:hAnsi="Times New Roman" w:cs="Times New Roman"/>
          <w:sz w:val="24"/>
          <w:szCs w:val="24"/>
        </w:rPr>
        <w:t xml:space="preserve"> und </w:t>
      </w:r>
      <w:r>
        <w:rPr>
          <w:rFonts w:ascii="Times New Roman" w:hAnsi="Times New Roman" w:cs="Times New Roman"/>
          <w:smallCaps/>
          <w:sz w:val="24"/>
          <w:szCs w:val="24"/>
        </w:rPr>
        <w:t>Oh</w:t>
      </w:r>
      <w:r>
        <w:rPr>
          <w:rFonts w:ascii="Times New Roman" w:hAnsi="Times New Roman" w:cs="Times New Roman"/>
          <w:sz w:val="24"/>
          <w:szCs w:val="24"/>
        </w:rPr>
        <w:t xml:space="preserve"> 2012: 2). Stattdessen stehen jetzt die Erfahrungen von Nutzer*innen, insbesondere von Frauen, und Technologie im Mittelpunkt. Dies bewegt den Diskurs von sozialen Einteilungen (Geschlecht, Schicht, usw.) einer Frau hin zu persönlichen und privaten Einflüssen der Technologie auf den Alltag von Frauen (</w:t>
      </w:r>
      <w:r>
        <w:rPr>
          <w:rFonts w:ascii="Times New Roman" w:hAnsi="Times New Roman" w:cs="Times New Roman"/>
          <w:smallCaps/>
          <w:sz w:val="24"/>
          <w:szCs w:val="24"/>
        </w:rPr>
        <w:t>Brophy</w:t>
      </w:r>
      <w:r>
        <w:rPr>
          <w:rFonts w:ascii="Times New Roman" w:hAnsi="Times New Roman" w:cs="Times New Roman"/>
          <w:sz w:val="24"/>
          <w:szCs w:val="24"/>
        </w:rPr>
        <w:t xml:space="preserve"> 2010: 942). </w:t>
      </w:r>
      <w:r>
        <w:rPr>
          <w:rFonts w:ascii="Times New Roman" w:hAnsi="Times New Roman" w:cs="Times New Roman"/>
          <w:sz w:val="24"/>
          <w:szCs w:val="24"/>
          <w:lang w:val="en-US"/>
        </w:rPr>
        <w:t>„[…] [W]omen’s experiences online are shaped not only by the technological aspects of new digital technologies but also the ever-growing market values and the deep-rooted gender structure that constitute o rare constituted by emerging technologies“ (</w:t>
      </w:r>
      <w:r>
        <w:rPr>
          <w:rFonts w:ascii="Times New Roman" w:hAnsi="Times New Roman" w:cs="Times New Roman"/>
          <w:smallCaps/>
          <w:sz w:val="24"/>
          <w:szCs w:val="24"/>
          <w:lang w:val="en-US"/>
        </w:rPr>
        <w:t>Gajjala</w:t>
      </w:r>
      <w:r>
        <w:rPr>
          <w:rFonts w:ascii="Times New Roman" w:hAnsi="Times New Roman" w:cs="Times New Roman"/>
          <w:sz w:val="24"/>
          <w:szCs w:val="24"/>
          <w:lang w:val="en-US"/>
        </w:rPr>
        <w:t xml:space="preserve"> und </w:t>
      </w:r>
      <w:r>
        <w:rPr>
          <w:rFonts w:ascii="Times New Roman" w:hAnsi="Times New Roman" w:cs="Times New Roman"/>
          <w:smallCaps/>
          <w:sz w:val="24"/>
          <w:szCs w:val="24"/>
          <w:lang w:val="en-US"/>
        </w:rPr>
        <w:t>Oh</w:t>
      </w:r>
      <w:r>
        <w:rPr>
          <w:rFonts w:ascii="Times New Roman" w:hAnsi="Times New Roman" w:cs="Times New Roman"/>
          <w:sz w:val="24"/>
          <w:szCs w:val="24"/>
          <w:lang w:val="en-US"/>
        </w:rPr>
        <w:t xml:space="preserve"> 2012: 8). </w:t>
      </w:r>
      <w:r>
        <w:rPr>
          <w:rFonts w:ascii="Times New Roman" w:hAnsi="Times New Roman" w:cs="Times New Roman"/>
          <w:sz w:val="24"/>
          <w:szCs w:val="24"/>
        </w:rPr>
        <w:t>Die Rolle der Frau wird statt durch die Auflösung des Körpers durch ihre eigenen Erfahrungen in Bezug auf Geschlecht, Klasse, usw. gestärkt. Der „neue“ Cyberfeminismus richtet sein Augenmerk also auf die kollektive Selbstbestimmung der Frauen und technofeministischen Möglichkeiten (</w:t>
      </w:r>
      <w:r>
        <w:rPr>
          <w:rFonts w:ascii="Times New Roman" w:hAnsi="Times New Roman" w:cs="Times New Roman"/>
          <w:smallCaps/>
          <w:sz w:val="24"/>
          <w:szCs w:val="24"/>
        </w:rPr>
        <w:t>Avanessian</w:t>
      </w:r>
      <w:r>
        <w:rPr>
          <w:rFonts w:ascii="Times New Roman" w:hAnsi="Times New Roman" w:cs="Times New Roman"/>
          <w:sz w:val="24"/>
          <w:szCs w:val="24"/>
        </w:rPr>
        <w:t xml:space="preserve"> und </w:t>
      </w:r>
      <w:r>
        <w:rPr>
          <w:rFonts w:ascii="Times New Roman" w:hAnsi="Times New Roman" w:cs="Times New Roman"/>
          <w:smallCaps/>
          <w:sz w:val="24"/>
          <w:szCs w:val="24"/>
        </w:rPr>
        <w:t>Hester</w:t>
      </w:r>
      <w:r>
        <w:rPr>
          <w:rFonts w:ascii="Times New Roman" w:hAnsi="Times New Roman" w:cs="Times New Roman"/>
          <w:sz w:val="24"/>
          <w:szCs w:val="24"/>
        </w:rPr>
        <w:t xml:space="preserve"> 2015: 11). Ethnie und Diskriminierung werden nicht außer Acht gelassen, da anders als in den 1990ern nicht angenommen wird, dass man als Nutzer*in seinen Körper verlässt. Schon allein durch die völlig neue Nutzung und neu etablierte Online-Plattformen, wird diese Annahme vom Cyberfeminismus 2.0 abgelehnt. Zu Beginn des Internets war dieses noch stark textorientiert. Eine körperlose Identität war daher greifbarer als jetzt, wo Bildtechnologien präsenter geworden sind durch Portale wie Youtube, Instagram, usw. (</w:t>
      </w:r>
      <w:r>
        <w:rPr>
          <w:rFonts w:ascii="Times New Roman" w:hAnsi="Times New Roman" w:cs="Times New Roman"/>
          <w:smallCaps/>
          <w:sz w:val="24"/>
          <w:szCs w:val="24"/>
        </w:rPr>
        <w:t>Avanessian</w:t>
      </w:r>
      <w:r>
        <w:rPr>
          <w:rFonts w:ascii="Times New Roman" w:hAnsi="Times New Roman" w:cs="Times New Roman"/>
          <w:sz w:val="24"/>
          <w:szCs w:val="24"/>
        </w:rPr>
        <w:t xml:space="preserve"> und </w:t>
      </w:r>
      <w:r>
        <w:rPr>
          <w:rFonts w:ascii="Times New Roman" w:hAnsi="Times New Roman" w:cs="Times New Roman"/>
          <w:smallCaps/>
          <w:sz w:val="24"/>
          <w:szCs w:val="24"/>
        </w:rPr>
        <w:t>Hester</w:t>
      </w:r>
      <w:r>
        <w:rPr>
          <w:rFonts w:ascii="Times New Roman" w:hAnsi="Times New Roman" w:cs="Times New Roman"/>
          <w:sz w:val="24"/>
          <w:szCs w:val="24"/>
        </w:rPr>
        <w:t xml:space="preserve"> 2015: 11). „Mit der zunehmenden Kommerzialisierung und politischen Instrumentalisierung des Internets sind zahlreiche cyberfeministische Hoffnungen der 90er Jahre also ernüchtert worden. Was gleichwohl weiterhin aktuell bleibt […], ist das Interesse an der Schnittstelle von </w:t>
      </w:r>
      <w:r>
        <w:rPr>
          <w:rFonts w:ascii="Times New Roman" w:hAnsi="Times New Roman" w:cs="Times New Roman"/>
          <w:sz w:val="24"/>
          <w:szCs w:val="24"/>
        </w:rPr>
        <w:lastRenderedPageBreak/>
        <w:t>feministischer Theorie und Technologie, als zentralem Ansatzpunkt für eine emanzipatorische Praxis“ (</w:t>
      </w:r>
      <w:r>
        <w:rPr>
          <w:rFonts w:ascii="Times New Roman" w:hAnsi="Times New Roman" w:cs="Times New Roman"/>
          <w:smallCaps/>
          <w:sz w:val="24"/>
          <w:szCs w:val="24"/>
        </w:rPr>
        <w:t>Avanessian</w:t>
      </w:r>
      <w:r>
        <w:rPr>
          <w:rFonts w:ascii="Times New Roman" w:hAnsi="Times New Roman" w:cs="Times New Roman"/>
          <w:sz w:val="24"/>
          <w:szCs w:val="24"/>
        </w:rPr>
        <w:t xml:space="preserve"> und </w:t>
      </w:r>
      <w:r>
        <w:rPr>
          <w:rFonts w:ascii="Times New Roman" w:hAnsi="Times New Roman" w:cs="Times New Roman"/>
          <w:smallCaps/>
          <w:sz w:val="24"/>
          <w:szCs w:val="24"/>
        </w:rPr>
        <w:t>Hester</w:t>
      </w:r>
      <w:r>
        <w:rPr>
          <w:rFonts w:ascii="Times New Roman" w:hAnsi="Times New Roman" w:cs="Times New Roman"/>
          <w:sz w:val="24"/>
          <w:szCs w:val="24"/>
        </w:rPr>
        <w:t xml:space="preserve"> 2015: 12).</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3.3 Social Media und Hate Speech</w:t>
      </w:r>
    </w:p>
    <w:p>
      <w:pPr>
        <w:spacing w:line="360" w:lineRule="auto"/>
        <w:jc w:val="both"/>
        <w:rPr>
          <w:rFonts w:ascii="Times New Roman" w:hAnsi="Times New Roman" w:cs="Times New Roman"/>
          <w:sz w:val="24"/>
        </w:rPr>
      </w:pPr>
      <w:r>
        <w:rPr>
          <w:rFonts w:ascii="Times New Roman" w:hAnsi="Times New Roman" w:cs="Times New Roman"/>
          <w:sz w:val="24"/>
        </w:rPr>
        <w:t>„Social media refers to the use of web based and mobile based technologies to turn communication into an interactive dialogue” (</w:t>
      </w:r>
      <w:r>
        <w:rPr>
          <w:rFonts w:ascii="Times New Roman" w:hAnsi="Times New Roman" w:cs="Times New Roman"/>
          <w:smallCaps/>
          <w:sz w:val="24"/>
        </w:rPr>
        <w:t>Rai</w:t>
      </w:r>
      <w:r>
        <w:rPr>
          <w:rFonts w:ascii="Times New Roman" w:hAnsi="Times New Roman" w:cs="Times New Roman"/>
          <w:sz w:val="24"/>
        </w:rPr>
        <w:t xml:space="preserve"> 2017: 1) und steht damit im Kontrast zu traditionellen Medien wie der Zeitung oder dem Fernsehen, die Informationen ohne wechselwirkende Kommunikation verbreiten. Damit gehen Social Media-Plattformen einen Schritt weiter: Sie stellen nicht nur Informationen bereit, sondern interagieren mit den Nutzer*innen. Folgende Elemente charakterisieren derartige Plattformen: Teilnahme</w:t>
      </w:r>
      <w:r>
        <w:rPr>
          <w:rFonts w:ascii="Times New Roman" w:hAnsi="Times New Roman" w:cs="Times New Roman"/>
          <w:sz w:val="24"/>
        </w:rPr>
        <w:softHyphen/>
        <w:t>mög</w:t>
      </w:r>
      <w:r>
        <w:rPr>
          <w:rFonts w:ascii="Times New Roman" w:hAnsi="Times New Roman" w:cs="Times New Roman"/>
          <w:sz w:val="24"/>
        </w:rPr>
        <w:softHyphen/>
        <w:t>lich</w:t>
      </w:r>
      <w:r>
        <w:rPr>
          <w:rFonts w:ascii="Times New Roman" w:hAnsi="Times New Roman" w:cs="Times New Roman"/>
          <w:sz w:val="24"/>
        </w:rPr>
        <w:softHyphen/>
        <w:t>keit</w:t>
      </w:r>
      <w:r>
        <w:rPr>
          <w:rFonts w:ascii="Times New Roman" w:hAnsi="Times New Roman" w:cs="Times New Roman"/>
          <w:sz w:val="24"/>
        </w:rPr>
        <w:softHyphen/>
        <w:t>en, Offenheit der Plattform, Konversation, Bilden einer Internet-Community, Ver</w:t>
      </w:r>
      <w:r>
        <w:rPr>
          <w:rFonts w:ascii="Times New Roman" w:hAnsi="Times New Roman" w:cs="Times New Roman"/>
          <w:sz w:val="24"/>
        </w:rPr>
        <w:softHyphen/>
        <w:t>bunden</w:t>
      </w:r>
      <w:r>
        <w:rPr>
          <w:rFonts w:ascii="Times New Roman" w:hAnsi="Times New Roman" w:cs="Times New Roman"/>
          <w:sz w:val="24"/>
        </w:rPr>
        <w:softHyphen/>
        <w:t>heit durch andere Portale oder Personen (</w:t>
      </w:r>
      <w:r>
        <w:rPr>
          <w:rFonts w:ascii="Times New Roman" w:hAnsi="Times New Roman" w:cs="Times New Roman"/>
          <w:smallCaps/>
          <w:sz w:val="24"/>
        </w:rPr>
        <w:t>Rai</w:t>
      </w:r>
      <w:r>
        <w:rPr>
          <w:rFonts w:ascii="Times New Roman" w:hAnsi="Times New Roman" w:cs="Times New Roman"/>
          <w:sz w:val="24"/>
        </w:rPr>
        <w:t xml:space="preserve"> 2017: 1). Darunter können Internetforen, Micro</w:t>
      </w:r>
      <w:r>
        <w:rPr>
          <w:rFonts w:ascii="Times New Roman" w:hAnsi="Times New Roman" w:cs="Times New Roman"/>
          <w:sz w:val="24"/>
        </w:rPr>
        <w:softHyphen/>
        <w:t>blogging, Wikis oder bekannte Applikationen wie Facebook, Twitter, Youtube, usw. fallen.</w:t>
      </w:r>
    </w:p>
    <w:p>
      <w:pPr>
        <w:spacing w:line="360" w:lineRule="auto"/>
        <w:ind w:firstLine="567"/>
        <w:jc w:val="both"/>
        <w:rPr>
          <w:rFonts w:ascii="Times New Roman" w:hAnsi="Times New Roman" w:cs="Times New Roman"/>
          <w:sz w:val="24"/>
        </w:rPr>
      </w:pPr>
      <w:r>
        <w:rPr>
          <w:rFonts w:ascii="Times New Roman" w:hAnsi="Times New Roman" w:cs="Times New Roman"/>
          <w:sz w:val="24"/>
        </w:rPr>
        <w:t>Massenmedien und damit auch Social Media haben maßgeblichen Einfluss auf die Gesellschaft und deren Bewusstsein. Gerade durch ihre Möglichkeit zur teilweise anonymen Kommunikation kommt Social Media dabei noch einmal eine verstärkte Bedeutung hinzu. Auch im Kontext der Misogynie, bzw. Misandrie, und in Kombination mit dem Phänomen der „Hate Speech“, die auch über Social Media stark verbreitet wird, bildet dies ein wichtiges Thema, welches es in dieser Hinsicht zu untersuchen gilt.</w:t>
      </w:r>
    </w:p>
    <w:p>
      <w:pPr>
        <w:spacing w:line="360" w:lineRule="auto"/>
        <w:ind w:firstLine="567"/>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Aber was ist Hate Speech? Eine klare Definition scheint aufgrund der umstrittenen, emotionalen Komponente des Hasses nicht möglich zu sein, auch wenn der Begriff insbesondere in den letzten Jahren häufig gebraucht wird und Leser*innen, bzw. Hörer*innen des Begriffs eine Vorstellung davon haben (</w:t>
      </w:r>
      <w:r>
        <w:rPr>
          <w:rFonts w:ascii="Times New Roman" w:hAnsi="Times New Roman" w:cs="Times New Roman"/>
          <w:smallCaps/>
          <w:sz w:val="24"/>
        </w:rPr>
        <w:t>Sponholz</w:t>
      </w:r>
      <w:r>
        <w:rPr>
          <w:rFonts w:ascii="Times New Roman" w:hAnsi="Times New Roman" w:cs="Times New Roman"/>
          <w:sz w:val="24"/>
        </w:rPr>
        <w:t xml:space="preserve"> 2018: 31-32). „Wenn Menschen abgewertet, angegriffen oder wenn gegen sie zu Hass oder Gewalt aufgerufen wird, spricht man von Hate Speech. Oft sind es rassistische, antisemitische oder sexistische Kommentare, die bestimmte Menschen oder Gruppen als Zielscheibe haben. Hate Speech ist damit ein Oberbegriff für das Phänomen der gruppenbezogenen Menschenfeindlichkeit oder Volksverhetzung im Internet und Social-Media-Räumen“.</w:t>
      </w:r>
      <w:r>
        <w:rPr>
          <w:rStyle w:val="Funotenzeichen"/>
          <w:rFonts w:ascii="Times New Roman" w:hAnsi="Times New Roman" w:cs="Times New Roman"/>
          <w:sz w:val="24"/>
        </w:rPr>
        <w:footnoteReference w:id="2"/>
      </w:r>
    </w:p>
    <w:p>
      <w:pPr>
        <w:spacing w:line="360" w:lineRule="auto"/>
        <w:ind w:firstLine="567"/>
        <w:jc w:val="both"/>
        <w:rPr>
          <w:rFonts w:ascii="Times New Roman" w:hAnsi="Times New Roman" w:cs="Times New Roman"/>
          <w:sz w:val="24"/>
        </w:rPr>
      </w:pPr>
      <w:r>
        <w:rPr>
          <w:rFonts w:ascii="Times New Roman" w:hAnsi="Times New Roman" w:cs="Times New Roman"/>
          <w:smallCaps/>
          <w:sz w:val="24"/>
        </w:rPr>
        <w:t>Brown</w:t>
      </w:r>
      <w:r>
        <w:rPr>
          <w:rFonts w:ascii="Times New Roman" w:hAnsi="Times New Roman" w:cs="Times New Roman"/>
          <w:sz w:val="24"/>
        </w:rPr>
        <w:t xml:space="preserve"> (2017: 443) hält ebenfalls fest, dass sich Hate Speech für gewöhnlich gegen eine bestimmte Minderheit, die systemische Diskriminierung erfährt, richtet. </w:t>
      </w:r>
      <w:r>
        <w:rPr>
          <w:rFonts w:ascii="Times New Roman" w:hAnsi="Times New Roman" w:cs="Times New Roman"/>
          <w:smallCaps/>
          <w:sz w:val="24"/>
        </w:rPr>
        <w:t>Sponholz</w:t>
      </w:r>
      <w:r>
        <w:rPr>
          <w:rFonts w:ascii="Times New Roman" w:hAnsi="Times New Roman" w:cs="Times New Roman"/>
          <w:sz w:val="24"/>
        </w:rPr>
        <w:t xml:space="preserve"> (2018: 48) und </w:t>
      </w:r>
      <w:r>
        <w:rPr>
          <w:rFonts w:ascii="Times New Roman" w:hAnsi="Times New Roman" w:cs="Times New Roman"/>
          <w:smallCaps/>
          <w:sz w:val="24"/>
        </w:rPr>
        <w:t>Gelber</w:t>
      </w:r>
      <w:r>
        <w:rPr>
          <w:rFonts w:ascii="Times New Roman" w:hAnsi="Times New Roman" w:cs="Times New Roman"/>
          <w:sz w:val="24"/>
        </w:rPr>
        <w:t xml:space="preserve"> (2019: 16) bestätigen dies. Ist sie adressiert an eine bestimmte Person, steht diese </w:t>
      </w:r>
      <w:r>
        <w:rPr>
          <w:rFonts w:ascii="Times New Roman" w:hAnsi="Times New Roman" w:cs="Times New Roman"/>
          <w:sz w:val="24"/>
        </w:rPr>
        <w:lastRenderedPageBreak/>
        <w:t xml:space="preserve">als Repräsentant für ihre soziale Gruppe und ist auswechselbar. </w:t>
      </w:r>
      <w:r>
        <w:rPr>
          <w:rFonts w:ascii="Times New Roman" w:hAnsi="Times New Roman" w:cs="Times New Roman"/>
          <w:sz w:val="24"/>
          <w:lang w:val="en-US"/>
        </w:rPr>
        <w:t xml:space="preserve">In Bezug auf Frauen bestätigt </w:t>
      </w:r>
      <w:r>
        <w:rPr>
          <w:rFonts w:ascii="Times New Roman" w:hAnsi="Times New Roman" w:cs="Times New Roman"/>
          <w:smallCaps/>
          <w:sz w:val="24"/>
          <w:lang w:val="en-US"/>
        </w:rPr>
        <w:t>Beyer</w:t>
      </w:r>
      <w:r>
        <w:rPr>
          <w:rFonts w:ascii="Times New Roman" w:hAnsi="Times New Roman" w:cs="Times New Roman"/>
          <w:sz w:val="24"/>
          <w:lang w:val="en-US"/>
        </w:rPr>
        <w:t xml:space="preserve"> (201: 157): “However, the dominant group in online spaces creates on rhetorical ‘woman’ who is always considered in relation to the group itself”. </w:t>
      </w:r>
      <w:r>
        <w:rPr>
          <w:rFonts w:ascii="Times New Roman" w:hAnsi="Times New Roman" w:cs="Times New Roman"/>
          <w:sz w:val="24"/>
          <w:highlight w:val="lightGray"/>
        </w:rPr>
        <w:t>Folglich kann Hate Speech charakterisiert werden als Rede oder Ausdruck, ausgerichtet gegen eine bestimmte Personengruppe oder Klasse, aufgeladen mit Emotionen von Hass (</w:t>
      </w:r>
      <w:r>
        <w:rPr>
          <w:rFonts w:ascii="Times New Roman" w:hAnsi="Times New Roman" w:cs="Times New Roman"/>
          <w:smallCaps/>
          <w:sz w:val="24"/>
          <w:highlight w:val="lightGray"/>
        </w:rPr>
        <w:t>Brown</w:t>
      </w:r>
      <w:r>
        <w:rPr>
          <w:rFonts w:ascii="Times New Roman" w:hAnsi="Times New Roman" w:cs="Times New Roman"/>
          <w:sz w:val="24"/>
          <w:highlight w:val="lightGray"/>
        </w:rPr>
        <w:t xml:space="preserve"> 2017: 446).</w:t>
      </w:r>
      <w:r>
        <w:rPr>
          <w:rFonts w:ascii="Times New Roman" w:hAnsi="Times New Roman" w:cs="Times New Roman"/>
          <w:sz w:val="24"/>
        </w:rPr>
        <w:t xml:space="preserve"> </w:t>
      </w:r>
    </w:p>
    <w:p>
      <w:pPr>
        <w:spacing w:line="360" w:lineRule="auto"/>
        <w:ind w:firstLine="567"/>
        <w:jc w:val="both"/>
        <w:rPr>
          <w:rFonts w:ascii="Times New Roman" w:hAnsi="Times New Roman" w:cs="Times New Roman"/>
          <w:sz w:val="24"/>
        </w:rPr>
      </w:pPr>
      <w:r>
        <w:rPr>
          <w:rFonts w:ascii="Times New Roman" w:hAnsi="Times New Roman" w:cs="Times New Roman"/>
          <w:smallCaps/>
          <w:sz w:val="24"/>
          <w:highlight w:val="lightGray"/>
        </w:rPr>
        <w:t>Brown</w:t>
      </w:r>
      <w:r>
        <w:rPr>
          <w:rFonts w:ascii="Times New Roman" w:hAnsi="Times New Roman" w:cs="Times New Roman"/>
          <w:sz w:val="24"/>
          <w:highlight w:val="lightGray"/>
        </w:rPr>
        <w:t xml:space="preserve"> gesteht allerdings ein, dass diese Definition zu breit gefasst ist und unter diese Aspekte viele Reden fallen würden, die aber nach dem allgemeinen Verständnis nicht als Hate Speech bezeichnet werden würden. Die Emotionen von Hass versucht er zu unterteilen in: Die Sprecher*in drückt seinen Hass gegenüber einer Personengruppe aus; die Rede ist motiviert durch Hass gegenüber einer Personengruppe; oder die Rede schürt Hass gegenüber einer Personengruppe bei den Zuhörer*innen (</w:t>
      </w:r>
      <w:r>
        <w:rPr>
          <w:rFonts w:ascii="Times New Roman" w:hAnsi="Times New Roman" w:cs="Times New Roman"/>
          <w:smallCaps/>
          <w:sz w:val="24"/>
          <w:highlight w:val="lightGray"/>
        </w:rPr>
        <w:t>Brown</w:t>
      </w:r>
      <w:r>
        <w:rPr>
          <w:rFonts w:ascii="Times New Roman" w:hAnsi="Times New Roman" w:cs="Times New Roman"/>
          <w:sz w:val="24"/>
          <w:highlight w:val="lightGray"/>
        </w:rPr>
        <w:t xml:space="preserve"> 2017: 449-). Letztlich gibt es aber auch hier Ausnahmen, die eine einheitliche Definition verhindern. Dennoch wird das Konzept von Hate Speech durch die Charakteristika greifbar.</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Hate Speech kann folgende Konsequenzen nach sich ziehen: </w:t>
      </w:r>
    </w:p>
    <w:p>
      <w:pPr>
        <w:spacing w:line="360" w:lineRule="auto"/>
        <w:ind w:firstLine="567"/>
        <w:jc w:val="both"/>
        <w:rPr>
          <w:rFonts w:ascii="Times New Roman" w:hAnsi="Times New Roman" w:cs="Times New Roman"/>
          <w:sz w:val="24"/>
        </w:rPr>
      </w:pPr>
    </w:p>
    <w:p>
      <w:pPr>
        <w:spacing w:line="240" w:lineRule="auto"/>
        <w:ind w:left="567"/>
        <w:jc w:val="both"/>
        <w:rPr>
          <w:rFonts w:ascii="Times New Roman" w:hAnsi="Times New Roman" w:cs="Times New Roman"/>
          <w:sz w:val="24"/>
        </w:rPr>
      </w:pPr>
      <w:r>
        <w:rPr>
          <w:rFonts w:ascii="Times New Roman" w:hAnsi="Times New Roman" w:cs="Times New Roman"/>
          <w:sz w:val="24"/>
          <w:lang w:val="en-US"/>
        </w:rPr>
        <w:t xml:space="preserve">„harms to one’s emotional stability, the creation of groundless anxieties, restrictions on the capacity to engage in normal discourse with others, and […] negative stereotyping, feelings of fear, a kind of existential pain, disempowerment, withdrawal from expressive opportunities, silencing, exclusion, dehumanization, provocation to anger, restrictions on the ability to identify with one’s ethnic, national or racial group, and the transmission of racist or prejudicial views to others and across generations”. </w:t>
      </w:r>
      <w:r>
        <w:rPr>
          <w:rFonts w:ascii="Times New Roman" w:hAnsi="Times New Roman" w:cs="Times New Roman"/>
          <w:sz w:val="24"/>
        </w:rPr>
        <w:t>(</w:t>
      </w:r>
      <w:r>
        <w:rPr>
          <w:rFonts w:ascii="Times New Roman" w:hAnsi="Times New Roman" w:cs="Times New Roman"/>
          <w:smallCaps/>
          <w:sz w:val="24"/>
        </w:rPr>
        <w:t>Gelber</w:t>
      </w:r>
      <w:r>
        <w:rPr>
          <w:rFonts w:ascii="Times New Roman" w:hAnsi="Times New Roman" w:cs="Times New Roman"/>
          <w:sz w:val="24"/>
        </w:rPr>
        <w:t xml:space="preserve"> 2019: 7)</w:t>
      </w:r>
    </w:p>
    <w:p>
      <w:pPr>
        <w:spacing w:line="360" w:lineRule="auto"/>
        <w:ind w:firstLine="567"/>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Damit wird deutlich, dass Social Media und Hate Speech einen großen Wirkungskreis innehaben. Insbesondere Letzteres wird bereits so stark diskutiert, dass einige Länder trotz schwammiger Definition, Gesetze verabschiedet haben, um Hate Speech entgegen zu wirken. </w:t>
      </w:r>
    </w:p>
    <w:p>
      <w:pPr>
        <w:spacing w:line="360" w:lineRule="auto"/>
        <w:ind w:firstLine="567"/>
        <w:jc w:val="both"/>
        <w:rPr>
          <w:rFonts w:ascii="Times New Roman" w:hAnsi="Times New Roman" w:cs="Times New Roman"/>
          <w:sz w:val="24"/>
        </w:rPr>
      </w:pPr>
    </w:p>
    <w:p>
      <w:pPr>
        <w:spacing w:line="360" w:lineRule="auto"/>
        <w:jc w:val="both"/>
        <w:rPr>
          <w:rFonts w:ascii="Times New Roman" w:hAnsi="Times New Roman" w:cs="Times New Roman"/>
          <w:sz w:val="24"/>
          <w:lang w:val="en-US"/>
        </w:rPr>
      </w:pPr>
      <w:r>
        <w:rPr>
          <w:rFonts w:ascii="Times New Roman" w:hAnsi="Times New Roman" w:cs="Times New Roman"/>
          <w:sz w:val="24"/>
        </w:rPr>
        <w:t xml:space="preserve">Äußerungen, die unter Hate Speech fallen, und die Personen, die diese Aussagen treffen, sind unweigerlich mit mehreren Konzepten verbunden: Anonymität und Deindividuation im Internet, und </w:t>
      </w:r>
      <w:r>
        <w:rPr>
          <w:rFonts w:ascii="Times New Roman" w:hAnsi="Times New Roman" w:cs="Times New Roman"/>
          <w:i/>
          <w:iCs/>
          <w:sz w:val="24"/>
        </w:rPr>
        <w:t>Othering</w:t>
      </w:r>
      <w:r>
        <w:rPr>
          <w:rFonts w:ascii="Times New Roman" w:hAnsi="Times New Roman" w:cs="Times New Roman"/>
          <w:sz w:val="24"/>
        </w:rPr>
        <w:t xml:space="preserve">. </w:t>
      </w:r>
      <w:r>
        <w:rPr>
          <w:rFonts w:ascii="Times New Roman" w:hAnsi="Times New Roman" w:cs="Times New Roman"/>
          <w:sz w:val="24"/>
          <w:lang w:val="en-US"/>
        </w:rPr>
        <w:t>„In the safety of anonymity, speakers do not fear reprisals for expressing their views of women, and, when making misogynist statements, often can expect support” (</w:t>
      </w:r>
      <w:r>
        <w:rPr>
          <w:rFonts w:ascii="Times New Roman" w:hAnsi="Times New Roman" w:cs="Times New Roman"/>
          <w:smallCaps/>
          <w:sz w:val="24"/>
          <w:lang w:val="en-US"/>
        </w:rPr>
        <w:t>Beyer</w:t>
      </w:r>
      <w:r>
        <w:rPr>
          <w:rFonts w:ascii="Times New Roman" w:hAnsi="Times New Roman" w:cs="Times New Roman"/>
          <w:sz w:val="24"/>
          <w:lang w:val="en-US"/>
        </w:rPr>
        <w:t xml:space="preserve"> 2012: 156).</w:t>
      </w:r>
    </w:p>
    <w:p>
      <w:pPr>
        <w:spacing w:line="360" w:lineRule="auto"/>
        <w:ind w:firstLine="567"/>
        <w:jc w:val="both"/>
        <w:rPr>
          <w:rFonts w:ascii="Times New Roman" w:hAnsi="Times New Roman" w:cs="Times New Roman"/>
          <w:sz w:val="24"/>
        </w:rPr>
      </w:pPr>
      <w:r>
        <w:rPr>
          <w:rFonts w:ascii="Times New Roman" w:hAnsi="Times New Roman" w:cs="Times New Roman"/>
          <w:smallCaps/>
          <w:sz w:val="24"/>
        </w:rPr>
        <w:t>Blitvich, Lorenzo-Dus</w:t>
      </w:r>
      <w:r>
        <w:rPr>
          <w:rFonts w:ascii="Times New Roman" w:hAnsi="Times New Roman" w:cs="Times New Roman"/>
          <w:sz w:val="24"/>
        </w:rPr>
        <w:t xml:space="preserve"> und </w:t>
      </w:r>
      <w:r>
        <w:rPr>
          <w:rFonts w:ascii="Times New Roman" w:hAnsi="Times New Roman" w:cs="Times New Roman"/>
          <w:smallCaps/>
          <w:sz w:val="24"/>
        </w:rPr>
        <w:t>Bou-Franch</w:t>
      </w:r>
      <w:r>
        <w:rPr>
          <w:rFonts w:ascii="Times New Roman" w:hAnsi="Times New Roman" w:cs="Times New Roman"/>
          <w:sz w:val="24"/>
        </w:rPr>
        <w:t xml:space="preserve"> (2013: 343) stellten in einer Studie die Hypothese auf, dass (Un-) Höflichkeit</w:t>
      </w:r>
      <w:r>
        <w:rPr>
          <w:rStyle w:val="Funotenzeichen"/>
          <w:rFonts w:ascii="Times New Roman" w:hAnsi="Times New Roman" w:cs="Times New Roman"/>
          <w:sz w:val="24"/>
        </w:rPr>
        <w:footnoteReference w:id="3"/>
      </w:r>
      <w:r>
        <w:rPr>
          <w:rFonts w:ascii="Times New Roman" w:hAnsi="Times New Roman" w:cs="Times New Roman"/>
          <w:sz w:val="24"/>
        </w:rPr>
        <w:t xml:space="preserve"> im direkten Zusammenhang mit der Zugehörigkeit zu einer (bzw. Ausschluss von einer) sozialen Klasse steht und bestätigten diese anhand Kommentaren und Videos zu Obama als geeigneten Präsidentschaftskandidaten während der </w:t>
      </w:r>
      <w:r>
        <w:rPr>
          <w:rFonts w:ascii="Times New Roman" w:hAnsi="Times New Roman" w:cs="Times New Roman"/>
          <w:sz w:val="24"/>
        </w:rPr>
        <w:lastRenderedPageBreak/>
        <w:t xml:space="preserve">Wahl 2008. Innerhalb dieser Kommentare gab es Unterstützer*innen und Gegner*innen. </w:t>
      </w:r>
      <w:r>
        <w:rPr>
          <w:rFonts w:ascii="Times New Roman" w:hAnsi="Times New Roman" w:cs="Times New Roman"/>
          <w:smallCaps/>
          <w:sz w:val="24"/>
        </w:rPr>
        <w:t>Blitvich, Lorenzo-Dus</w:t>
      </w:r>
      <w:r>
        <w:rPr>
          <w:rFonts w:ascii="Times New Roman" w:hAnsi="Times New Roman" w:cs="Times New Roman"/>
          <w:sz w:val="24"/>
        </w:rPr>
        <w:t xml:space="preserve"> und </w:t>
      </w:r>
      <w:r>
        <w:rPr>
          <w:rFonts w:ascii="Times New Roman" w:hAnsi="Times New Roman" w:cs="Times New Roman"/>
          <w:smallCaps/>
          <w:sz w:val="24"/>
        </w:rPr>
        <w:t>Bou-Franch</w:t>
      </w:r>
      <w:r>
        <w:rPr>
          <w:rFonts w:ascii="Times New Roman" w:hAnsi="Times New Roman" w:cs="Times New Roman"/>
          <w:sz w:val="24"/>
        </w:rPr>
        <w:t xml:space="preserve"> (2013: 344) beziehen sich auf Michael Tomasellos Theorie, Zugehörigkeit zu einer Gruppe stünde in direkter Verbindung mit gemeinsamen Wertevorstellungen und dem Wunsch nach Abgrenzung zu Gruppen, die andere Perspektiven innehaben. Zugehörigkeit, bzw. Abgrenzung werden durch (Un-) Höflichkeit zum Ausdruck gebracht. Die Annahmen dieses Hintergrunds bestätigen sich in den Resultaten der Studie: Zugehörigkeit wird durch das Herausstellen der positiven Eigenschaften der eigenen, sozialen Gruppe vermittelt; Abgrenzung erfolgt durch Abwertung anderer sozialer Gruppen (</w:t>
      </w:r>
      <w:r>
        <w:rPr>
          <w:rFonts w:ascii="Times New Roman" w:hAnsi="Times New Roman" w:cs="Times New Roman"/>
          <w:smallCaps/>
          <w:sz w:val="24"/>
        </w:rPr>
        <w:t>Blitvich, Lorenzo-Dus</w:t>
      </w:r>
      <w:r>
        <w:rPr>
          <w:rFonts w:ascii="Times New Roman" w:hAnsi="Times New Roman" w:cs="Times New Roman"/>
          <w:sz w:val="24"/>
        </w:rPr>
        <w:t xml:space="preserve"> und </w:t>
      </w:r>
      <w:r>
        <w:rPr>
          <w:rFonts w:ascii="Times New Roman" w:hAnsi="Times New Roman" w:cs="Times New Roman"/>
          <w:smallCaps/>
          <w:sz w:val="24"/>
        </w:rPr>
        <w:t>Bou-Franch</w:t>
      </w:r>
      <w:r>
        <w:rPr>
          <w:rFonts w:ascii="Times New Roman" w:hAnsi="Times New Roman" w:cs="Times New Roman"/>
          <w:sz w:val="24"/>
        </w:rPr>
        <w:t xml:space="preserve"> 2013: 361-362). </w:t>
      </w:r>
      <w:r>
        <w:rPr>
          <w:rFonts w:ascii="Times New Roman" w:hAnsi="Times New Roman" w:cs="Times New Roman"/>
          <w:sz w:val="24"/>
          <w:lang w:val="en-US"/>
        </w:rPr>
        <w:t>Außerdem verbinden sie ihre Studienergebnisse mit dem „process by which we reenact our own positive identity through the stigmatization of another, which is also known as ‘othering’” (</w:t>
      </w:r>
      <w:r>
        <w:rPr>
          <w:rFonts w:ascii="Times New Roman" w:hAnsi="Times New Roman" w:cs="Times New Roman"/>
          <w:smallCaps/>
          <w:sz w:val="24"/>
          <w:lang w:val="en-US"/>
        </w:rPr>
        <w:t>Blitvich, Lorenzo-Dus</w:t>
      </w:r>
      <w:r>
        <w:rPr>
          <w:rFonts w:ascii="Times New Roman" w:hAnsi="Times New Roman" w:cs="Times New Roman"/>
          <w:sz w:val="24"/>
          <w:lang w:val="en-US"/>
        </w:rPr>
        <w:t xml:space="preserve"> und </w:t>
      </w:r>
      <w:r>
        <w:rPr>
          <w:rFonts w:ascii="Times New Roman" w:hAnsi="Times New Roman" w:cs="Times New Roman"/>
          <w:smallCaps/>
          <w:sz w:val="24"/>
          <w:lang w:val="en-US"/>
        </w:rPr>
        <w:t>Bou-Franch</w:t>
      </w:r>
      <w:r>
        <w:rPr>
          <w:rFonts w:ascii="Times New Roman" w:hAnsi="Times New Roman" w:cs="Times New Roman"/>
          <w:sz w:val="24"/>
          <w:lang w:val="en-US"/>
        </w:rPr>
        <w:t xml:space="preserve"> 2013: 345). </w:t>
      </w:r>
      <w:r>
        <w:rPr>
          <w:rFonts w:ascii="Times New Roman" w:hAnsi="Times New Roman" w:cs="Times New Roman"/>
          <w:sz w:val="24"/>
        </w:rPr>
        <w:t xml:space="preserve">Diese Verbindung zum Phänomen des </w:t>
      </w:r>
      <w:r>
        <w:rPr>
          <w:rFonts w:ascii="Times New Roman" w:hAnsi="Times New Roman" w:cs="Times New Roman"/>
          <w:i/>
          <w:iCs/>
          <w:sz w:val="24"/>
        </w:rPr>
        <w:t>Othering</w:t>
      </w:r>
      <w:r>
        <w:rPr>
          <w:rFonts w:ascii="Times New Roman" w:hAnsi="Times New Roman" w:cs="Times New Roman"/>
          <w:sz w:val="24"/>
        </w:rPr>
        <w:t xml:space="preserve"> sieht auch </w:t>
      </w:r>
      <w:r>
        <w:rPr>
          <w:rFonts w:ascii="Times New Roman" w:hAnsi="Times New Roman" w:cs="Times New Roman"/>
          <w:smallCaps/>
          <w:sz w:val="24"/>
        </w:rPr>
        <w:t>Sponholz</w:t>
      </w:r>
      <w:r>
        <w:rPr>
          <w:rFonts w:ascii="Times New Roman" w:hAnsi="Times New Roman" w:cs="Times New Roman"/>
          <w:sz w:val="24"/>
        </w:rPr>
        <w:t xml:space="preserve"> (2018: 56-57). Laut ihr verstärkt Hate Speech den Prozess‘ des </w:t>
      </w:r>
      <w:r>
        <w:rPr>
          <w:rFonts w:ascii="Times New Roman" w:hAnsi="Times New Roman" w:cs="Times New Roman"/>
          <w:i/>
          <w:iCs/>
          <w:sz w:val="24"/>
        </w:rPr>
        <w:t>Otherings</w:t>
      </w:r>
      <w:r>
        <w:rPr>
          <w:rFonts w:ascii="Times New Roman" w:hAnsi="Times New Roman" w:cs="Times New Roman"/>
          <w:sz w:val="24"/>
        </w:rPr>
        <w:t xml:space="preserve"> durch „Entweder wir oder sie“-Mentalitäten. Zugehörigkeit und Abgrenzung erfolgen demnach zeitgleich; die Betonung der eigenen Werte, steht im Einklang mit der Abwertung der anderen.</w:t>
      </w:r>
    </w:p>
    <w:p>
      <w:pPr>
        <w:spacing w:line="360" w:lineRule="auto"/>
        <w:ind w:firstLine="567"/>
        <w:jc w:val="both"/>
        <w:rPr>
          <w:rFonts w:ascii="Times New Roman" w:hAnsi="Times New Roman" w:cs="Times New Roman"/>
          <w:sz w:val="24"/>
          <w:szCs w:val="24"/>
        </w:rPr>
      </w:pPr>
      <w:r>
        <w:rPr>
          <w:rFonts w:ascii="Times New Roman" w:hAnsi="Times New Roman" w:cs="Times New Roman"/>
          <w:smallCaps/>
          <w:sz w:val="24"/>
        </w:rPr>
        <w:t>Bou-Franch</w:t>
      </w:r>
      <w:r>
        <w:rPr>
          <w:rFonts w:ascii="Times New Roman" w:hAnsi="Times New Roman" w:cs="Times New Roman"/>
          <w:sz w:val="24"/>
        </w:rPr>
        <w:t xml:space="preserve"> und </w:t>
      </w:r>
      <w:r>
        <w:rPr>
          <w:rFonts w:ascii="Times New Roman" w:hAnsi="Times New Roman" w:cs="Times New Roman"/>
          <w:smallCaps/>
          <w:sz w:val="24"/>
        </w:rPr>
        <w:t>Garcés-Conejos Blitvich</w:t>
      </w:r>
      <w:r>
        <w:rPr>
          <w:rFonts w:ascii="Times New Roman" w:hAnsi="Times New Roman" w:cs="Times New Roman"/>
          <w:sz w:val="24"/>
        </w:rPr>
        <w:t xml:space="preserve"> (2016: 59, 64) untersuchten innerhalb einer Studie spanische Onlinekommentare zu vier Kampagnenvideos gegen Gewalt gegen Frauen auf der Videoplattform Youtube. Insgesamt 460 Kommentare waren Gegenstand der Studie. Diese wurden in Hinsicht auf Gender-Ideologien und Identitätsprozessen analysiert. Sie kamen zu dem Schluss, dass kommentierende Nutzer ihre Identität „through strategies of ideological polarization regarding gender“ (</w:t>
      </w:r>
      <w:r>
        <w:rPr>
          <w:rFonts w:ascii="Times New Roman" w:hAnsi="Times New Roman" w:cs="Times New Roman"/>
          <w:smallCaps/>
          <w:sz w:val="24"/>
          <w:szCs w:val="24"/>
        </w:rPr>
        <w:t>Bou-Franch</w:t>
      </w:r>
      <w:r>
        <w:rPr>
          <w:rFonts w:ascii="Times New Roman" w:hAnsi="Times New Roman" w:cs="Times New Roman"/>
          <w:sz w:val="24"/>
          <w:szCs w:val="24"/>
        </w:rPr>
        <w:t xml:space="preserve"> und </w:t>
      </w:r>
      <w:r>
        <w:rPr>
          <w:rFonts w:ascii="Times New Roman" w:hAnsi="Times New Roman" w:cs="Times New Roman"/>
          <w:smallCaps/>
          <w:sz w:val="24"/>
          <w:szCs w:val="24"/>
        </w:rPr>
        <w:t>Garcés-Conejos Blitvich</w:t>
      </w:r>
      <w:r>
        <w:rPr>
          <w:rFonts w:ascii="Times New Roman" w:hAnsi="Times New Roman" w:cs="Times New Roman"/>
          <w:sz w:val="24"/>
          <w:szCs w:val="24"/>
        </w:rPr>
        <w:t xml:space="preserve"> 2016: 76) konstruieren. Gleichzeitig schaffen sie eine klare Abgrenzung zwischen der Kategorie, zu der sie sich zählen, und allen weiteren Kategorien. Es entsteht ein positives Selbstbild und gleichzeitig ein negatives Fremdbild. Im Fall der Studie fassen sie zusammen, dass es sich meist um Männer und Frauen, die Feminismus ablehnen und an patriarchalen Strukturen festhalten, handelt. Diese werten im Speziellen Frauen ab, die Opfer von häuslicher Gewalt wurden, da diese u.a. Eigenschuld tragen, und im Allgemein Frauen, da diese manipulierend und ungehorsam seien</w:t>
      </w:r>
      <w:r>
        <w:rPr>
          <w:rFonts w:ascii="Times New Roman" w:hAnsi="Times New Roman" w:cs="Times New Roman"/>
          <w:sz w:val="24"/>
        </w:rPr>
        <w:t xml:space="preserve"> (</w:t>
      </w:r>
      <w:r>
        <w:rPr>
          <w:rFonts w:ascii="Times New Roman" w:hAnsi="Times New Roman" w:cs="Times New Roman"/>
          <w:smallCaps/>
          <w:sz w:val="24"/>
          <w:szCs w:val="24"/>
        </w:rPr>
        <w:t>Bou-Franch</w:t>
      </w:r>
      <w:r>
        <w:rPr>
          <w:rFonts w:ascii="Times New Roman" w:hAnsi="Times New Roman" w:cs="Times New Roman"/>
          <w:sz w:val="24"/>
          <w:szCs w:val="24"/>
        </w:rPr>
        <w:t xml:space="preserve"> und </w:t>
      </w:r>
      <w:r>
        <w:rPr>
          <w:rFonts w:ascii="Times New Roman" w:hAnsi="Times New Roman" w:cs="Times New Roman"/>
          <w:smallCaps/>
          <w:sz w:val="24"/>
          <w:szCs w:val="24"/>
        </w:rPr>
        <w:t>Garcés-Conejos Blitvich</w:t>
      </w:r>
      <w:r>
        <w:rPr>
          <w:rFonts w:ascii="Times New Roman" w:hAnsi="Times New Roman" w:cs="Times New Roman"/>
          <w:sz w:val="24"/>
          <w:szCs w:val="24"/>
        </w:rPr>
        <w:t xml:space="preserve"> 2016: 77). Auch wenn diese Studie auf Spanien bezogen ist, so lässt sich annehmen, dass Kommentare in anderen Ländern oder ausdrücklich in Südkorea ähnliche Identitäten konstruieren können.</w:t>
      </w:r>
    </w:p>
    <w:p>
      <w:pPr>
        <w:spacing w:line="360" w:lineRule="auto"/>
        <w:ind w:firstLine="567"/>
        <w:jc w:val="both"/>
        <w:rPr>
          <w:rFonts w:ascii="Times New Roman" w:hAnsi="Times New Roman" w:cs="Times New Roman"/>
          <w:sz w:val="24"/>
          <w:lang w:val="en-US"/>
        </w:rPr>
      </w:pPr>
      <w:r>
        <w:rPr>
          <w:rFonts w:ascii="Times New Roman" w:hAnsi="Times New Roman" w:cs="Times New Roman"/>
          <w:sz w:val="24"/>
          <w:szCs w:val="24"/>
        </w:rPr>
        <w:t xml:space="preserve">Doch wie kommt solch ein negatives Verhalten in Social Media zu Stande? Eine Erklärungsmöglichkeit hängt eng mit dem Phänomen der Deindividuation zusammen. Dieses geht zurück auf den französischen Psychologen und Soziologen Gustave Le Bon. Er behauptete, ein Individuum würde beim „Eintauchen“ in eine Gruppendynamik Hemmungen verlieren, da </w:t>
      </w:r>
      <w:r>
        <w:rPr>
          <w:rFonts w:ascii="Times New Roman" w:hAnsi="Times New Roman" w:cs="Times New Roman"/>
          <w:sz w:val="24"/>
          <w:szCs w:val="24"/>
        </w:rPr>
        <w:lastRenderedPageBreak/>
        <w:t>die Stärke der Gruppe dazu verleitet, Eigenverantwortung auszublenden und zu polarisieren (</w:t>
      </w:r>
      <w:r>
        <w:rPr>
          <w:rFonts w:ascii="Times New Roman" w:hAnsi="Times New Roman" w:cs="Times New Roman"/>
          <w:smallCaps/>
          <w:sz w:val="24"/>
          <w:szCs w:val="24"/>
        </w:rPr>
        <w:t>Reicher, Spears</w:t>
      </w:r>
      <w:r>
        <w:rPr>
          <w:rFonts w:ascii="Times New Roman" w:hAnsi="Times New Roman" w:cs="Times New Roman"/>
          <w:sz w:val="24"/>
          <w:szCs w:val="24"/>
        </w:rPr>
        <w:t xml:space="preserve"> und </w:t>
      </w:r>
      <w:r>
        <w:rPr>
          <w:rFonts w:ascii="Times New Roman" w:hAnsi="Times New Roman" w:cs="Times New Roman"/>
          <w:smallCaps/>
          <w:sz w:val="24"/>
          <w:szCs w:val="24"/>
        </w:rPr>
        <w:t>Postmes</w:t>
      </w:r>
      <w:r>
        <w:rPr>
          <w:rFonts w:ascii="Times New Roman" w:hAnsi="Times New Roman" w:cs="Times New Roman"/>
          <w:sz w:val="24"/>
          <w:szCs w:val="24"/>
        </w:rPr>
        <w:t xml:space="preserve"> 1995: 162; </w:t>
      </w:r>
      <w:r>
        <w:rPr>
          <w:rFonts w:ascii="Times New Roman" w:hAnsi="Times New Roman" w:cs="Times New Roman"/>
          <w:smallCaps/>
        </w:rPr>
        <w:t>Vilanova</w:t>
      </w:r>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2017: 3</w:t>
      </w:r>
      <w:r>
        <w:rPr>
          <w:rFonts w:ascii="Times New Roman" w:hAnsi="Times New Roman" w:cs="Times New Roman"/>
          <w:sz w:val="24"/>
          <w:szCs w:val="24"/>
        </w:rPr>
        <w:t xml:space="preserve">). </w:t>
      </w:r>
      <w:r>
        <w:rPr>
          <w:rFonts w:ascii="Times New Roman" w:hAnsi="Times New Roman" w:cs="Times New Roman"/>
          <w:sz w:val="24"/>
          <w:szCs w:val="24"/>
          <w:lang w:val="en-US"/>
        </w:rPr>
        <w:t>„ As in all subsequent deindividuation research, it is assumed that individual identity is lost in the mass and that this results in a loss of behavioural control” (</w:t>
      </w:r>
      <w:r>
        <w:rPr>
          <w:rFonts w:ascii="Times New Roman" w:hAnsi="Times New Roman" w:cs="Times New Roman"/>
          <w:smallCaps/>
          <w:sz w:val="24"/>
          <w:szCs w:val="24"/>
          <w:lang w:val="en-US"/>
        </w:rPr>
        <w:t>Reicher, Spears</w:t>
      </w:r>
      <w:r>
        <w:rPr>
          <w:rFonts w:ascii="Times New Roman" w:hAnsi="Times New Roman" w:cs="Times New Roman"/>
          <w:sz w:val="24"/>
          <w:szCs w:val="24"/>
          <w:lang w:val="en-US"/>
        </w:rPr>
        <w:t xml:space="preserve"> und </w:t>
      </w:r>
      <w:r>
        <w:rPr>
          <w:rFonts w:ascii="Times New Roman" w:hAnsi="Times New Roman" w:cs="Times New Roman"/>
          <w:smallCaps/>
          <w:sz w:val="24"/>
          <w:szCs w:val="24"/>
          <w:lang w:val="en-US"/>
        </w:rPr>
        <w:t>Postmes</w:t>
      </w:r>
      <w:r>
        <w:rPr>
          <w:rFonts w:ascii="Times New Roman" w:hAnsi="Times New Roman" w:cs="Times New Roman"/>
          <w:sz w:val="24"/>
          <w:szCs w:val="24"/>
          <w:lang w:val="en-US"/>
        </w:rPr>
        <w:t xml:space="preserve"> 1995: 164). </w:t>
      </w:r>
      <w:r>
        <w:rPr>
          <w:rFonts w:ascii="Times New Roman" w:hAnsi="Times New Roman" w:cs="Times New Roman"/>
          <w:sz w:val="24"/>
          <w:szCs w:val="24"/>
        </w:rPr>
        <w:t>Philip Zimbardo, U.S.-amerikanischer Psychologe, knüpfte an diese Theorie verschiedene Faktoren: Anonymität, ungewohnte Situationen, sensorische Überbelastung, gemeinsame Handlungen, usw. Er schilderte, aufgrund der fehlenden Selbst-Observation innerhalb der Gruppe, entgleitet auch die soziale Evaluation (</w:t>
      </w:r>
      <w:r>
        <w:rPr>
          <w:rFonts w:ascii="Times New Roman" w:hAnsi="Times New Roman" w:cs="Times New Roman"/>
          <w:smallCaps/>
          <w:sz w:val="24"/>
          <w:szCs w:val="24"/>
        </w:rPr>
        <w:t>Reicher, Spears</w:t>
      </w:r>
      <w:r>
        <w:rPr>
          <w:rFonts w:ascii="Times New Roman" w:hAnsi="Times New Roman" w:cs="Times New Roman"/>
          <w:sz w:val="24"/>
          <w:szCs w:val="24"/>
        </w:rPr>
        <w:t xml:space="preserve"> und </w:t>
      </w:r>
      <w:r>
        <w:rPr>
          <w:rFonts w:ascii="Times New Roman" w:hAnsi="Times New Roman" w:cs="Times New Roman"/>
          <w:smallCaps/>
          <w:sz w:val="24"/>
          <w:szCs w:val="24"/>
        </w:rPr>
        <w:t>Postmes</w:t>
      </w:r>
      <w:r>
        <w:rPr>
          <w:rFonts w:ascii="Times New Roman" w:hAnsi="Times New Roman" w:cs="Times New Roman"/>
          <w:sz w:val="24"/>
          <w:szCs w:val="24"/>
        </w:rPr>
        <w:t xml:space="preserve"> 1995: 164-165; </w:t>
      </w:r>
      <w:r>
        <w:rPr>
          <w:rFonts w:ascii="Times New Roman" w:hAnsi="Times New Roman" w:cs="Times New Roman"/>
          <w:smallCaps/>
        </w:rPr>
        <w:t>Vilanova</w:t>
      </w:r>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2017: 4</w:t>
      </w:r>
      <w:r>
        <w:rPr>
          <w:rFonts w:ascii="Times New Roman" w:hAnsi="Times New Roman" w:cs="Times New Roman"/>
          <w:sz w:val="24"/>
          <w:szCs w:val="24"/>
        </w:rPr>
        <w:t>). Aus diesem Grund entstehen oft (verbale) gewalttätige Reaktionen. Im Falle von Social Media und Hate Speech fällt hier natürlich die Anonymität maßgeblich ins Gewicht, die die Dynamik von oft polarisierenden Internetgruppen begünstigt. Unter dem Schutz der Anonymität und der Gruppe können Konsequenzen einfacher umgangen oder ausgeblendet werden als außerhalb. Damit besteht ein gewisser Zusammenhang zwischen Anonymität und Aggressivität (</w:t>
      </w:r>
      <w:r>
        <w:rPr>
          <w:rFonts w:ascii="Times New Roman" w:hAnsi="Times New Roman" w:cs="Times New Roman"/>
          <w:smallCaps/>
        </w:rPr>
        <w:t>Vilanova</w:t>
      </w:r>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2017: 5)</w:t>
      </w:r>
      <w:r>
        <w:rPr>
          <w:rFonts w:ascii="Times New Roman" w:hAnsi="Times New Roman" w:cs="Times New Roman"/>
          <w:sz w:val="24"/>
          <w:szCs w:val="24"/>
        </w:rPr>
        <w:t xml:space="preserve">. Spätere Studien und Kritiker bezeugten aber auch, dass Deindividuation zu weniger Aggression und zu gesteigerter Zuneigung führen kann (vgl. </w:t>
      </w:r>
      <w:r>
        <w:rPr>
          <w:rFonts w:ascii="Times New Roman" w:hAnsi="Times New Roman" w:cs="Times New Roman"/>
          <w:smallCaps/>
          <w:sz w:val="24"/>
          <w:szCs w:val="24"/>
        </w:rPr>
        <w:t>Reicher, Spears</w:t>
      </w:r>
      <w:r>
        <w:rPr>
          <w:rFonts w:ascii="Times New Roman" w:hAnsi="Times New Roman" w:cs="Times New Roman"/>
          <w:sz w:val="24"/>
          <w:szCs w:val="24"/>
        </w:rPr>
        <w:t xml:space="preserve"> und </w:t>
      </w:r>
      <w:r>
        <w:rPr>
          <w:rFonts w:ascii="Times New Roman" w:hAnsi="Times New Roman" w:cs="Times New Roman"/>
          <w:smallCaps/>
          <w:sz w:val="24"/>
          <w:szCs w:val="24"/>
        </w:rPr>
        <w:t>Postmes</w:t>
      </w:r>
      <w:r>
        <w:rPr>
          <w:rFonts w:ascii="Times New Roman" w:hAnsi="Times New Roman" w:cs="Times New Roman"/>
          <w:sz w:val="24"/>
          <w:szCs w:val="24"/>
        </w:rPr>
        <w:t xml:space="preserve"> 1995: 165, 182-183) oder Anonymität statt Aggressivität mit Selbstwahrnehmung gekoppelt ist (</w:t>
      </w:r>
      <w:r>
        <w:rPr>
          <w:rFonts w:ascii="Times New Roman" w:hAnsi="Times New Roman" w:cs="Times New Roman"/>
          <w:smallCaps/>
        </w:rPr>
        <w:t>Vilanova</w:t>
      </w:r>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2017: 7-8)</w:t>
      </w:r>
      <w:r>
        <w:rPr>
          <w:rFonts w:ascii="Times New Roman" w:hAnsi="Times New Roman" w:cs="Times New Roman"/>
          <w:sz w:val="24"/>
          <w:szCs w:val="24"/>
        </w:rPr>
        <w:t xml:space="preserve">. Dennoch ist der Zusammenhang von Deindividuation und u.a. diskriminierendem Verhalten durch Gruppen nicht von der Hand zu weisen. </w:t>
      </w:r>
      <w:r>
        <w:rPr>
          <w:rFonts w:ascii="Times New Roman" w:hAnsi="Times New Roman" w:cs="Times New Roman"/>
          <w:sz w:val="24"/>
          <w:szCs w:val="24"/>
          <w:lang w:val="en-US"/>
        </w:rPr>
        <w:t>„[…] [I]f an individual is in a deindividuation situation and there is a tendency toward prosocial behavior […], the person tends to act in a prosocial manner. However, when faced with the salience of antisocial norms […], antisocial behavior will be stimulated” (</w:t>
      </w:r>
      <w:r>
        <w:rPr>
          <w:rFonts w:ascii="Times New Roman" w:hAnsi="Times New Roman" w:cs="Times New Roman"/>
          <w:smallCaps/>
          <w:lang w:val="en-US"/>
        </w:rPr>
        <w:t>Vilanova</w:t>
      </w:r>
      <w:r>
        <w:rPr>
          <w:rFonts w:ascii="Times New Roman" w:hAnsi="Times New Roman" w:cs="Times New Roman"/>
          <w:lang w:val="en-US"/>
        </w:rPr>
        <w:t xml:space="preserve"> </w:t>
      </w:r>
      <w:r>
        <w:rPr>
          <w:rFonts w:ascii="Times New Roman" w:hAnsi="Times New Roman" w:cs="Times New Roman"/>
          <w:i/>
          <w:iCs/>
          <w:lang w:val="en-US"/>
        </w:rPr>
        <w:t>et. al.</w:t>
      </w:r>
      <w:r>
        <w:rPr>
          <w:rFonts w:ascii="Times New Roman" w:hAnsi="Times New Roman" w:cs="Times New Roman"/>
          <w:lang w:val="en-US"/>
        </w:rPr>
        <w:t xml:space="preserve"> 2017: 11-12)</w:t>
      </w:r>
      <w:r>
        <w:rPr>
          <w:rFonts w:ascii="Times New Roman" w:hAnsi="Times New Roman" w:cs="Times New Roman"/>
          <w:sz w:val="24"/>
          <w:szCs w:val="24"/>
          <w:lang w:val="en-US"/>
        </w:rPr>
        <w:t>.</w:t>
      </w:r>
    </w:p>
    <w:p>
      <w:pPr>
        <w:spacing w:line="360" w:lineRule="auto"/>
        <w:jc w:val="both"/>
        <w:rPr>
          <w:rFonts w:ascii="Times New Roman" w:hAnsi="Times New Roman" w:cs="Times New Roman"/>
          <w:sz w:val="24"/>
          <w:lang w:val="en-US"/>
        </w:rPr>
      </w:pPr>
    </w:p>
    <w:p>
      <w:pPr>
        <w:spacing w:line="360" w:lineRule="auto"/>
        <w:jc w:val="both"/>
        <w:rPr>
          <w:rFonts w:ascii="Times New Roman" w:hAnsi="Times New Roman" w:cs="Times New Roman"/>
          <w:sz w:val="24"/>
          <w:lang w:val="en-US"/>
        </w:rPr>
      </w:pPr>
    </w:p>
    <w:p>
      <w:pPr>
        <w:spacing w:line="360" w:lineRule="auto"/>
        <w:jc w:val="both"/>
        <w:rPr>
          <w:rFonts w:ascii="Times New Roman" w:hAnsi="Times New Roman" w:cs="Times New Roman"/>
          <w:b/>
          <w:bCs/>
          <w:sz w:val="24"/>
        </w:rPr>
      </w:pPr>
      <w:r>
        <w:rPr>
          <w:rFonts w:ascii="Times New Roman" w:hAnsi="Times New Roman" w:cs="Times New Roman"/>
          <w:b/>
          <w:bCs/>
          <w:sz w:val="24"/>
        </w:rPr>
        <w:t>4. Wandel des Feminismus in Südkorea</w:t>
      </w:r>
    </w:p>
    <w:p>
      <w:pPr>
        <w:spacing w:line="360" w:lineRule="auto"/>
        <w:jc w:val="both"/>
        <w:rPr>
          <w:rFonts w:ascii="Times New Roman" w:hAnsi="Times New Roman" w:cs="Times New Roman"/>
          <w:sz w:val="24"/>
        </w:rPr>
      </w:pPr>
      <w:r>
        <w:rPr>
          <w:rFonts w:ascii="Times New Roman" w:hAnsi="Times New Roman" w:cs="Times New Roman"/>
          <w:sz w:val="24"/>
        </w:rPr>
        <w:t xml:space="preserve">Auch wenn Feminismus und feministische Aktivitäten erst seit wenigen Jahren in Südkorea präsent zu sein scheinen, sind diese bereits seit langer Zeit etablierte Strömungen, die die südkoreanische Gesellschaft und Politik beeinflusst haben. So gab es bereits Frauenbewegungen nach der Gründung der Demokratischen Republik Südkoreas 1948. Aufgrund der sensiblen, politischen Situation des Landes, war es für Frauen noch schwierig sich zu organisieren. Dies änderte sich vor allem während den 1970ern, die zwar stark geprägt von einer Militärdiktatur waren, aber die ersten Veränderungen mit sich brachte. Heutzutage sind es nicht mehr Regime, die den Feminismus in Südkorea beeinflussen, sondern allen voran Themen wie sexuelle Gewalt und Online-Misogynie. Der Wandel von einem marxistischen </w:t>
      </w:r>
      <w:r>
        <w:rPr>
          <w:rFonts w:ascii="Times New Roman" w:hAnsi="Times New Roman" w:cs="Times New Roman"/>
          <w:sz w:val="24"/>
        </w:rPr>
        <w:lastRenderedPageBreak/>
        <w:t>Aufbegehren der südkoreanischen Arbeiterinnen hin zu einer cyberfeministisch geprägten Neuinterpretation wird im Folgenden erläutert. Diese Entwicklung nachzuverfolgen ist enorm wichtig, um den heutigen Status Quo des Feminismus zu ermitteln und zu verstehen.</w:t>
      </w:r>
    </w:p>
    <w:p>
      <w:pPr>
        <w:spacing w:line="360" w:lineRule="auto"/>
        <w:jc w:val="both"/>
        <w:rPr>
          <w:rFonts w:ascii="Times New Roman" w:hAnsi="Times New Roman" w:cs="Times New Roman"/>
          <w:sz w:val="24"/>
          <w:lang w:val="en-US"/>
        </w:rPr>
      </w:pPr>
    </w:p>
    <w:p>
      <w:pPr>
        <w:spacing w:line="360" w:lineRule="auto"/>
        <w:jc w:val="both"/>
        <w:rPr>
          <w:rFonts w:ascii="Times New Roman" w:hAnsi="Times New Roman" w:cs="Times New Roman"/>
          <w:sz w:val="24"/>
          <w:lang w:val="en-US"/>
        </w:rPr>
      </w:pPr>
      <w:r>
        <w:rPr>
          <w:rFonts w:ascii="Times New Roman" w:hAnsi="Times New Roman" w:cs="Times New Roman"/>
          <w:sz w:val="24"/>
          <w:lang w:val="en-US"/>
        </w:rPr>
        <w:t>[4. – 6. …]</w:t>
      </w:r>
      <w:bookmarkStart w:id="0" w:name="_GoBack"/>
      <w:bookmarkEnd w:id="0"/>
    </w:p>
    <w:p>
      <w:pPr>
        <w:spacing w:line="360" w:lineRule="auto"/>
        <w:jc w:val="both"/>
        <w:rPr>
          <w:rFonts w:ascii="Times New Roman" w:hAnsi="Times New Roman" w:cs="Times New Roman"/>
          <w:sz w:val="24"/>
          <w:lang w:val="en-US"/>
        </w:rPr>
      </w:pPr>
    </w:p>
    <w:p>
      <w:pPr>
        <w:spacing w:line="360" w:lineRule="auto"/>
        <w:jc w:val="both"/>
        <w:rPr>
          <w:rFonts w:ascii="Times New Roman" w:hAnsi="Times New Roman" w:cs="Times New Roman"/>
          <w:sz w:val="24"/>
          <w:lang w:val="en-US"/>
        </w:rPr>
      </w:pPr>
    </w:p>
    <w:p>
      <w:pPr>
        <w:spacing w:line="360" w:lineRule="auto"/>
        <w:ind w:left="567" w:hanging="567"/>
        <w:jc w:val="both"/>
        <w:rPr>
          <w:rFonts w:ascii="Times New Roman" w:hAnsi="Times New Roman" w:cs="Times New Roman"/>
          <w:b/>
          <w:sz w:val="24"/>
        </w:rPr>
      </w:pPr>
      <w:r>
        <w:rPr>
          <w:rFonts w:ascii="Times New Roman" w:hAnsi="Times New Roman" w:cs="Times New Roman"/>
          <w:b/>
          <w:sz w:val="24"/>
        </w:rPr>
        <w:t>Literaturverzeichnis</w:t>
      </w:r>
    </w:p>
    <w:p>
      <w:pPr>
        <w:spacing w:line="360" w:lineRule="auto"/>
        <w:ind w:left="567" w:hanging="567"/>
        <w:jc w:val="both"/>
        <w:rPr>
          <w:rFonts w:ascii="Times New Roman" w:hAnsi="Times New Roman" w:cs="Times New Roman"/>
          <w:smallCaps/>
          <w:sz w:val="24"/>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rPr>
        <w:t xml:space="preserve">Anderson, </w:t>
      </w:r>
      <w:r>
        <w:rPr>
          <w:rFonts w:ascii="Times New Roman" w:hAnsi="Times New Roman" w:cs="Times New Roman"/>
        </w:rPr>
        <w:t xml:space="preserve">Kristin J. (2015): </w:t>
      </w:r>
      <w:r>
        <w:rPr>
          <w:rFonts w:ascii="Times New Roman" w:hAnsi="Times New Roman" w:cs="Times New Roman"/>
          <w:i/>
          <w:iCs/>
        </w:rPr>
        <w:t xml:space="preserve">Modern misogyny. </w:t>
      </w:r>
      <w:r>
        <w:rPr>
          <w:rFonts w:ascii="Times New Roman" w:hAnsi="Times New Roman" w:cs="Times New Roman"/>
          <w:i/>
          <w:iCs/>
          <w:lang w:val="en-US"/>
        </w:rPr>
        <w:t>Anti-feminism in a post-feminist era</w:t>
      </w:r>
      <w:r>
        <w:rPr>
          <w:rFonts w:ascii="Times New Roman" w:hAnsi="Times New Roman" w:cs="Times New Roman"/>
          <w:lang w:val="en-US"/>
        </w:rPr>
        <w:t>. New York [u.a.]: Oxford University Press.</w:t>
      </w:r>
    </w:p>
    <w:p>
      <w:pPr>
        <w:spacing w:line="360" w:lineRule="auto"/>
        <w:ind w:left="567" w:hanging="567"/>
        <w:jc w:val="both"/>
        <w:rPr>
          <w:rFonts w:ascii="Times New Roman" w:hAnsi="Times New Roman" w:cs="Times New Roman"/>
          <w:smallCaps/>
          <w:sz w:val="24"/>
          <w:lang w:val="en-US"/>
        </w:rPr>
      </w:pPr>
    </w:p>
    <w:p>
      <w:pPr>
        <w:spacing w:line="360" w:lineRule="auto"/>
        <w:ind w:left="567" w:hanging="567"/>
        <w:jc w:val="both"/>
        <w:rPr>
          <w:rFonts w:ascii="Times New Roman" w:hAnsi="Times New Roman" w:cs="Times New Roman"/>
        </w:rPr>
      </w:pPr>
      <w:r>
        <w:rPr>
          <w:rFonts w:ascii="Times New Roman" w:hAnsi="Times New Roman" w:cs="Times New Roman"/>
          <w:smallCaps/>
          <w:lang w:val="en-US"/>
        </w:rPr>
        <w:t>Avanessian</w:t>
      </w:r>
      <w:r>
        <w:rPr>
          <w:rFonts w:ascii="Times New Roman" w:hAnsi="Times New Roman" w:cs="Times New Roman"/>
          <w:lang w:val="en-US"/>
        </w:rPr>
        <w:t xml:space="preserve">, Armen und Helen </w:t>
      </w:r>
      <w:r>
        <w:rPr>
          <w:rFonts w:ascii="Times New Roman" w:hAnsi="Times New Roman" w:cs="Times New Roman"/>
          <w:smallCaps/>
          <w:lang w:val="en-US"/>
        </w:rPr>
        <w:t>Hester</w:t>
      </w:r>
      <w:r>
        <w:rPr>
          <w:rFonts w:ascii="Times New Roman" w:hAnsi="Times New Roman" w:cs="Times New Roman"/>
          <w:lang w:val="en-US"/>
        </w:rPr>
        <w:t xml:space="preserve"> (2015): Einleitung. </w:t>
      </w:r>
      <w:r>
        <w:rPr>
          <w:rFonts w:ascii="Times New Roman" w:hAnsi="Times New Roman" w:cs="Times New Roman"/>
        </w:rPr>
        <w:t xml:space="preserve">In: </w:t>
      </w:r>
      <w:r>
        <w:rPr>
          <w:rFonts w:ascii="Times New Roman" w:hAnsi="Times New Roman" w:cs="Times New Roman"/>
          <w:smallCaps/>
        </w:rPr>
        <w:t>Avanessian</w:t>
      </w:r>
      <w:r>
        <w:rPr>
          <w:rFonts w:ascii="Times New Roman" w:hAnsi="Times New Roman" w:cs="Times New Roman"/>
        </w:rPr>
        <w:t xml:space="preserve">, Armen und Helen </w:t>
      </w:r>
      <w:r>
        <w:rPr>
          <w:rFonts w:ascii="Times New Roman" w:hAnsi="Times New Roman" w:cs="Times New Roman"/>
          <w:smallCaps/>
        </w:rPr>
        <w:t>Hester</w:t>
      </w:r>
      <w:r>
        <w:rPr>
          <w:rFonts w:ascii="Times New Roman" w:hAnsi="Times New Roman" w:cs="Times New Roman"/>
        </w:rPr>
        <w:t xml:space="preserve"> (Hg.): </w:t>
      </w:r>
      <w:r>
        <w:rPr>
          <w:rFonts w:ascii="Times New Roman" w:hAnsi="Times New Roman" w:cs="Times New Roman"/>
          <w:i/>
          <w:iCs/>
        </w:rPr>
        <w:t>Dea ex machina</w:t>
      </w:r>
      <w:r>
        <w:rPr>
          <w:rFonts w:ascii="Times New Roman" w:hAnsi="Times New Roman" w:cs="Times New Roman"/>
        </w:rPr>
        <w:t>. Übersetzt von Jennifer Sophia Theodor, Gesine Strempel und Stephan Geene. Berlin: Merve-Verlag, S. 7-14.</w:t>
      </w:r>
    </w:p>
    <w:p>
      <w:pPr>
        <w:spacing w:line="360" w:lineRule="auto"/>
        <w:ind w:left="567" w:hanging="567"/>
        <w:jc w:val="both"/>
        <w:rPr>
          <w:rFonts w:ascii="Times New Roman" w:hAnsi="Times New Roman" w:cs="Times New Roman"/>
          <w:smallCaps/>
          <w:sz w:val="24"/>
        </w:rPr>
      </w:pPr>
    </w:p>
    <w:p>
      <w:pPr>
        <w:spacing w:line="360" w:lineRule="auto"/>
        <w:ind w:left="567" w:hanging="567"/>
        <w:jc w:val="both"/>
        <w:rPr>
          <w:rFonts w:ascii="Times New Roman" w:hAnsi="Times New Roman" w:cs="Times New Roman"/>
        </w:rPr>
      </w:pPr>
      <w:r>
        <w:rPr>
          <w:rFonts w:ascii="Times New Roman" w:hAnsi="Times New Roman" w:cs="Times New Roman"/>
          <w:smallCaps/>
        </w:rPr>
        <w:t>Banet-Weiser</w:t>
      </w:r>
      <w:r>
        <w:rPr>
          <w:rFonts w:ascii="Times New Roman" w:hAnsi="Times New Roman" w:cs="Times New Roman"/>
        </w:rPr>
        <w:t xml:space="preserve">, Sarah und Kate M. </w:t>
      </w:r>
      <w:r>
        <w:rPr>
          <w:rFonts w:ascii="Times New Roman" w:hAnsi="Times New Roman" w:cs="Times New Roman"/>
          <w:smallCaps/>
        </w:rPr>
        <w:t>Miltner</w:t>
      </w:r>
      <w:r>
        <w:rPr>
          <w:rFonts w:ascii="Times New Roman" w:hAnsi="Times New Roman" w:cs="Times New Roman"/>
        </w:rPr>
        <w:t xml:space="preserve"> (2016): #MascunilitySoFragile: culture, structure, and networked misogyny. In: </w:t>
      </w:r>
      <w:r>
        <w:rPr>
          <w:rFonts w:ascii="Times New Roman" w:hAnsi="Times New Roman" w:cs="Times New Roman"/>
          <w:i/>
          <w:iCs/>
        </w:rPr>
        <w:t>Feminist Media Studies</w:t>
      </w:r>
      <w:r>
        <w:rPr>
          <w:rFonts w:ascii="Times New Roman" w:hAnsi="Times New Roman" w:cs="Times New Roman"/>
        </w:rPr>
        <w:t>, 16, 1, S. 171-174.</w:t>
      </w:r>
    </w:p>
    <w:p>
      <w:pPr>
        <w:spacing w:line="360" w:lineRule="auto"/>
        <w:ind w:left="567" w:hanging="567"/>
        <w:jc w:val="both"/>
        <w:rPr>
          <w:rFonts w:ascii="Times New Roman" w:hAnsi="Times New Roman" w:cs="Times New Roman"/>
          <w:smallCaps/>
          <w:sz w:val="24"/>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Beyer</w:t>
      </w:r>
      <w:r>
        <w:rPr>
          <w:rFonts w:ascii="Times New Roman" w:hAnsi="Times New Roman" w:cs="Times New Roman"/>
          <w:lang w:val="en-US"/>
        </w:rPr>
        <w:t xml:space="preserve">, Jessica L. (2012): Women’s (Dis)embodied Engagement with Male-Dominated Online Communities. In: </w:t>
      </w:r>
      <w:r>
        <w:rPr>
          <w:rFonts w:ascii="Times New Roman" w:hAnsi="Times New Roman" w:cs="Times New Roman"/>
          <w:smallCaps/>
          <w:lang w:val="en-US"/>
        </w:rPr>
        <w:t>Gajjala</w:t>
      </w:r>
      <w:r>
        <w:rPr>
          <w:rFonts w:ascii="Times New Roman" w:hAnsi="Times New Roman" w:cs="Times New Roman"/>
          <w:lang w:val="en-US"/>
        </w:rPr>
        <w:t xml:space="preserve">, Radhika und Yeon Ju </w:t>
      </w:r>
      <w:r>
        <w:rPr>
          <w:rFonts w:ascii="Times New Roman" w:hAnsi="Times New Roman" w:cs="Times New Roman"/>
          <w:smallCaps/>
          <w:lang w:val="en-US"/>
        </w:rPr>
        <w:t>Oh</w:t>
      </w:r>
      <w:r>
        <w:rPr>
          <w:rFonts w:ascii="Times New Roman" w:hAnsi="Times New Roman" w:cs="Times New Roman"/>
          <w:lang w:val="en-US"/>
        </w:rPr>
        <w:t xml:space="preserve"> (Hg.): </w:t>
      </w:r>
      <w:r>
        <w:rPr>
          <w:rFonts w:ascii="Times New Roman" w:hAnsi="Times New Roman" w:cs="Times New Roman"/>
          <w:i/>
          <w:iCs/>
          <w:lang w:val="en-US"/>
        </w:rPr>
        <w:t>Cyberfeminism 2.0</w:t>
      </w:r>
      <w:r>
        <w:rPr>
          <w:rFonts w:ascii="Times New Roman" w:hAnsi="Times New Roman" w:cs="Times New Roman"/>
          <w:lang w:val="en-US"/>
        </w:rPr>
        <w:t>. New York: Peter Lang Publishing, Inc., S. 153-170.</w:t>
      </w:r>
    </w:p>
    <w:p>
      <w:pPr>
        <w:spacing w:line="360" w:lineRule="auto"/>
        <w:ind w:left="567" w:hanging="567"/>
        <w:jc w:val="both"/>
        <w:rPr>
          <w:rFonts w:ascii="Times New Roman" w:hAnsi="Times New Roman" w:cs="Times New Roman"/>
          <w:smallCaps/>
          <w:sz w:val="24"/>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Bou-Franch</w:t>
      </w:r>
      <w:r>
        <w:rPr>
          <w:rFonts w:ascii="Times New Roman" w:hAnsi="Times New Roman" w:cs="Times New Roman"/>
          <w:lang w:val="en-US"/>
        </w:rPr>
        <w:t xml:space="preserve">, Patricia und Pilar </w:t>
      </w:r>
      <w:r>
        <w:rPr>
          <w:rFonts w:ascii="Times New Roman" w:hAnsi="Times New Roman" w:cs="Times New Roman"/>
          <w:smallCaps/>
          <w:lang w:val="en-US"/>
        </w:rPr>
        <w:t>Garcés-Conejos Blitvich</w:t>
      </w:r>
      <w:r>
        <w:rPr>
          <w:rFonts w:ascii="Times New Roman" w:hAnsi="Times New Roman" w:cs="Times New Roman"/>
          <w:lang w:val="en-US"/>
        </w:rPr>
        <w:t xml:space="preserve"> (2016): Gender ideology and social identity processes in online language aggression against women. In: </w:t>
      </w:r>
      <w:r>
        <w:rPr>
          <w:rFonts w:ascii="Times New Roman" w:hAnsi="Times New Roman" w:cs="Times New Roman"/>
          <w:smallCaps/>
          <w:lang w:val="en-US"/>
        </w:rPr>
        <w:t>Bou-</w:t>
      </w:r>
      <w:r>
        <w:rPr>
          <w:rFonts w:ascii="Times New Roman" w:hAnsi="Times New Roman" w:cs="Times New Roman"/>
          <w:lang w:val="en-US"/>
        </w:rPr>
        <w:t xml:space="preserve">Franch, Patricia und Kristin L. </w:t>
      </w:r>
      <w:r>
        <w:rPr>
          <w:rFonts w:ascii="Times New Roman" w:hAnsi="Times New Roman" w:cs="Times New Roman"/>
          <w:smallCaps/>
          <w:lang w:val="en-US"/>
        </w:rPr>
        <w:t xml:space="preserve">Anderson </w:t>
      </w:r>
      <w:r>
        <w:rPr>
          <w:rFonts w:ascii="Times New Roman" w:hAnsi="Times New Roman" w:cs="Times New Roman"/>
          <w:lang w:val="en-US"/>
        </w:rPr>
        <w:t xml:space="preserve">(Hg.): </w:t>
      </w:r>
      <w:r>
        <w:rPr>
          <w:rFonts w:ascii="Times New Roman" w:hAnsi="Times New Roman" w:cs="Times New Roman"/>
          <w:i/>
          <w:iCs/>
          <w:lang w:val="en-US"/>
        </w:rPr>
        <w:t xml:space="preserve">Exploring Language Aggressions against Women. </w:t>
      </w:r>
      <w:r>
        <w:rPr>
          <w:rFonts w:ascii="Times New Roman" w:hAnsi="Times New Roman" w:cs="Times New Roman"/>
          <w:lang w:val="en-US"/>
        </w:rPr>
        <w:t>Amsterdam: John Benjamins Publishing Company, S. 59-81.</w:t>
      </w:r>
    </w:p>
    <w:p>
      <w:pPr>
        <w:spacing w:line="360" w:lineRule="auto"/>
        <w:ind w:left="567" w:hanging="567"/>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Brophy</w:t>
      </w:r>
      <w:r>
        <w:rPr>
          <w:rFonts w:ascii="Times New Roman" w:hAnsi="Times New Roman" w:cs="Times New Roman"/>
          <w:lang w:val="en-US"/>
        </w:rPr>
        <w:t xml:space="preserve">, Jessica E. (2010): Developing corporeal cyberfeminism: Beyond cyberutopia. In: </w:t>
      </w:r>
      <w:r>
        <w:rPr>
          <w:rFonts w:ascii="Times New Roman" w:hAnsi="Times New Roman" w:cs="Times New Roman"/>
          <w:i/>
          <w:iCs/>
          <w:lang w:val="en-US"/>
        </w:rPr>
        <w:t>New Media &amp; Society</w:t>
      </w:r>
      <w:r>
        <w:rPr>
          <w:rFonts w:ascii="Times New Roman" w:hAnsi="Times New Roman" w:cs="Times New Roman"/>
          <w:lang w:val="en-US"/>
        </w:rPr>
        <w:t>, 12, 6, S. 929-945.</w:t>
      </w:r>
    </w:p>
    <w:p>
      <w:pPr>
        <w:spacing w:line="360" w:lineRule="auto"/>
        <w:ind w:left="567" w:hanging="567"/>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Brown</w:t>
      </w:r>
      <w:r>
        <w:rPr>
          <w:rFonts w:ascii="Times New Roman" w:hAnsi="Times New Roman" w:cs="Times New Roman"/>
          <w:lang w:val="en-US"/>
        </w:rPr>
        <w:t xml:space="preserve">, Alexander (2017): What is Hate Speech? Part 1: The Myth of Hate. In: </w:t>
      </w:r>
      <w:r>
        <w:rPr>
          <w:rFonts w:ascii="Times New Roman" w:hAnsi="Times New Roman" w:cs="Times New Roman"/>
          <w:i/>
          <w:iCs/>
          <w:lang w:val="en-US"/>
        </w:rPr>
        <w:t xml:space="preserve">Law and Philosophy, </w:t>
      </w:r>
      <w:r>
        <w:rPr>
          <w:rFonts w:ascii="Times New Roman" w:hAnsi="Times New Roman" w:cs="Times New Roman"/>
          <w:lang w:val="en-US"/>
        </w:rPr>
        <w:t>36, S. 419-468.</w:t>
      </w:r>
    </w:p>
    <w:p>
      <w:pPr>
        <w:spacing w:line="360" w:lineRule="auto"/>
        <w:ind w:left="567" w:hanging="567"/>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Burn</w:t>
      </w:r>
      <w:r>
        <w:rPr>
          <w:rFonts w:ascii="Times New Roman" w:hAnsi="Times New Roman" w:cs="Times New Roman"/>
          <w:lang w:val="en-US"/>
        </w:rPr>
        <w:t xml:space="preserve">, Shawn Meghan, Roger </w:t>
      </w:r>
      <w:r>
        <w:rPr>
          <w:rFonts w:ascii="Times New Roman" w:hAnsi="Times New Roman" w:cs="Times New Roman"/>
          <w:smallCaps/>
          <w:lang w:val="en-US"/>
        </w:rPr>
        <w:t>Aboud</w:t>
      </w:r>
      <w:r>
        <w:rPr>
          <w:rFonts w:ascii="Times New Roman" w:hAnsi="Times New Roman" w:cs="Times New Roman"/>
          <w:lang w:val="en-US"/>
        </w:rPr>
        <w:t xml:space="preserve"> u. Carey </w:t>
      </w:r>
      <w:r>
        <w:rPr>
          <w:rFonts w:ascii="Times New Roman" w:hAnsi="Times New Roman" w:cs="Times New Roman"/>
          <w:smallCaps/>
          <w:lang w:val="en-US"/>
        </w:rPr>
        <w:t>Moyles</w:t>
      </w:r>
      <w:r>
        <w:rPr>
          <w:rFonts w:ascii="Times New Roman" w:hAnsi="Times New Roman" w:cs="Times New Roman"/>
          <w:lang w:val="en-US"/>
        </w:rPr>
        <w:t xml:space="preserve"> (2000): The Relationship between Gender Social Identity and Support for Feminism. In: </w:t>
      </w:r>
      <w:r>
        <w:rPr>
          <w:rFonts w:ascii="Times New Roman" w:hAnsi="Times New Roman" w:cs="Times New Roman"/>
          <w:i/>
          <w:lang w:val="en-US"/>
        </w:rPr>
        <w:t>Sex Roles</w:t>
      </w:r>
      <w:r>
        <w:rPr>
          <w:rFonts w:ascii="Times New Roman" w:hAnsi="Times New Roman" w:cs="Times New Roman"/>
          <w:lang w:val="en-US"/>
        </w:rPr>
        <w:t xml:space="preserve"> 42, 12, S.1081-1089.</w:t>
      </w:r>
    </w:p>
    <w:p>
      <w:pPr>
        <w:spacing w:line="360" w:lineRule="auto"/>
        <w:ind w:left="567" w:hanging="567"/>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Chung</w:t>
      </w:r>
      <w:r>
        <w:rPr>
          <w:rFonts w:ascii="Times New Roman" w:hAnsi="Times New Roman" w:cs="Times New Roman"/>
          <w:lang w:val="en-US"/>
        </w:rPr>
        <w:t xml:space="preserve">, Hyunback (2015): The Transfer and Appropriation of German Feminism in South Korea. Transnational Solidarity in Feminism. In: </w:t>
      </w:r>
      <w:r>
        <w:rPr>
          <w:rFonts w:ascii="Times New Roman" w:hAnsi="Times New Roman" w:cs="Times New Roman"/>
          <w:i/>
          <w:iCs/>
          <w:lang w:val="en-US"/>
        </w:rPr>
        <w:t>Korea Journal</w:t>
      </w:r>
      <w:r>
        <w:rPr>
          <w:rFonts w:ascii="Times New Roman" w:hAnsi="Times New Roman" w:cs="Times New Roman"/>
          <w:lang w:val="en-US"/>
        </w:rPr>
        <w:t>, 55, 1, S. 138-163.</w:t>
      </w:r>
    </w:p>
    <w:p>
      <w:pPr>
        <w:spacing w:line="360" w:lineRule="auto"/>
        <w:ind w:left="567" w:hanging="567"/>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Daniels</w:t>
      </w:r>
      <w:r>
        <w:rPr>
          <w:rFonts w:ascii="Times New Roman" w:hAnsi="Times New Roman" w:cs="Times New Roman"/>
          <w:lang w:val="en-US"/>
        </w:rPr>
        <w:t xml:space="preserve">, Jessie (2009): Rethinking Cyberfeminism(s): Race, Gender, and Embodiment. In: </w:t>
      </w:r>
      <w:r>
        <w:rPr>
          <w:rFonts w:ascii="Times New Roman" w:hAnsi="Times New Roman" w:cs="Times New Roman"/>
          <w:i/>
          <w:iCs/>
          <w:lang w:val="en-US"/>
        </w:rPr>
        <w:t>Women’s Studies Quarterly</w:t>
      </w:r>
      <w:r>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37, 1, S. 101-124.</w:t>
      </w:r>
    </w:p>
    <w:p>
      <w:pPr>
        <w:spacing w:line="360" w:lineRule="auto"/>
        <w:ind w:left="567" w:hanging="567"/>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Fernandez</w:t>
      </w:r>
      <w:r>
        <w:rPr>
          <w:rFonts w:ascii="Times New Roman" w:hAnsi="Times New Roman" w:cs="Times New Roman"/>
          <w:lang w:val="en-US"/>
        </w:rPr>
        <w:t xml:space="preserve">, Maria (2002): Cyberfeminism, Racism, Emobidment. In: </w:t>
      </w:r>
      <w:r>
        <w:rPr>
          <w:rFonts w:ascii="Times New Roman" w:hAnsi="Times New Roman" w:cs="Times New Roman"/>
          <w:smallCaps/>
          <w:lang w:val="en-US"/>
        </w:rPr>
        <w:t>Fernandez</w:t>
      </w:r>
      <w:r>
        <w:rPr>
          <w:rFonts w:ascii="Times New Roman" w:hAnsi="Times New Roman" w:cs="Times New Roman"/>
          <w:lang w:val="en-US"/>
        </w:rPr>
        <w:t xml:space="preserve">, Maria; </w:t>
      </w:r>
      <w:r>
        <w:rPr>
          <w:rFonts w:ascii="Times New Roman" w:hAnsi="Times New Roman" w:cs="Times New Roman"/>
          <w:smallCaps/>
          <w:lang w:val="en-US"/>
        </w:rPr>
        <w:t>Wilding</w:t>
      </w:r>
      <w:r>
        <w:rPr>
          <w:rFonts w:ascii="Times New Roman" w:hAnsi="Times New Roman" w:cs="Times New Roman"/>
          <w:lang w:val="en-US"/>
        </w:rPr>
        <w:t xml:space="preserve">, Faith und Michelle M. </w:t>
      </w:r>
      <w:r>
        <w:rPr>
          <w:rFonts w:ascii="Times New Roman" w:hAnsi="Times New Roman" w:cs="Times New Roman"/>
          <w:smallCaps/>
          <w:lang w:val="en-US"/>
        </w:rPr>
        <w:t>Wright</w:t>
      </w:r>
      <w:r>
        <w:rPr>
          <w:rFonts w:ascii="Times New Roman" w:hAnsi="Times New Roman" w:cs="Times New Roman"/>
          <w:lang w:val="en-US"/>
        </w:rPr>
        <w:t xml:space="preserve">: </w:t>
      </w:r>
      <w:r>
        <w:rPr>
          <w:rFonts w:ascii="Times New Roman" w:hAnsi="Times New Roman" w:cs="Times New Roman"/>
          <w:i/>
          <w:iCs/>
          <w:lang w:val="en-US"/>
        </w:rPr>
        <w:t>Domain Errors! Cyberfeminist Practices</w:t>
      </w:r>
      <w:r>
        <w:rPr>
          <w:rFonts w:ascii="Times New Roman" w:hAnsi="Times New Roman" w:cs="Times New Roman"/>
          <w:lang w:val="en-US"/>
        </w:rPr>
        <w:t>. New York: Autonomedia, S. 29-44.</w:t>
      </w:r>
    </w:p>
    <w:p>
      <w:pPr>
        <w:spacing w:line="360" w:lineRule="auto"/>
        <w:ind w:left="567" w:hanging="567"/>
        <w:jc w:val="both"/>
        <w:rPr>
          <w:rFonts w:ascii="Times New Roman" w:hAnsi="Times New Roman" w:cs="Times New Roman"/>
          <w:smallCaps/>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Fernandez</w:t>
      </w:r>
      <w:r>
        <w:rPr>
          <w:rFonts w:ascii="Times New Roman" w:hAnsi="Times New Roman" w:cs="Times New Roman"/>
          <w:lang w:val="en-US"/>
        </w:rPr>
        <w:t xml:space="preserve">, Maria und Faith </w:t>
      </w:r>
      <w:r>
        <w:rPr>
          <w:rFonts w:ascii="Times New Roman" w:hAnsi="Times New Roman" w:cs="Times New Roman"/>
          <w:smallCaps/>
          <w:lang w:val="en-US"/>
        </w:rPr>
        <w:t>Wilding</w:t>
      </w:r>
      <w:r>
        <w:rPr>
          <w:rFonts w:ascii="Times New Roman" w:hAnsi="Times New Roman" w:cs="Times New Roman"/>
          <w:lang w:val="en-US"/>
        </w:rPr>
        <w:t xml:space="preserve"> (2002): Situating Cyberfeminism. In: </w:t>
      </w:r>
      <w:r>
        <w:rPr>
          <w:rFonts w:ascii="Times New Roman" w:hAnsi="Times New Roman" w:cs="Times New Roman"/>
          <w:smallCaps/>
          <w:lang w:val="en-US"/>
        </w:rPr>
        <w:t>Fernandez</w:t>
      </w:r>
      <w:r>
        <w:rPr>
          <w:rFonts w:ascii="Times New Roman" w:hAnsi="Times New Roman" w:cs="Times New Roman"/>
          <w:lang w:val="en-US"/>
        </w:rPr>
        <w:t xml:space="preserve">, Maria; </w:t>
      </w:r>
      <w:r>
        <w:rPr>
          <w:rFonts w:ascii="Times New Roman" w:hAnsi="Times New Roman" w:cs="Times New Roman"/>
          <w:smallCaps/>
          <w:lang w:val="en-US"/>
        </w:rPr>
        <w:t>Wilding</w:t>
      </w:r>
      <w:r>
        <w:rPr>
          <w:rFonts w:ascii="Times New Roman" w:hAnsi="Times New Roman" w:cs="Times New Roman"/>
          <w:lang w:val="en-US"/>
        </w:rPr>
        <w:t xml:space="preserve">, Faith und Michelle M. </w:t>
      </w:r>
      <w:r>
        <w:rPr>
          <w:rFonts w:ascii="Times New Roman" w:hAnsi="Times New Roman" w:cs="Times New Roman"/>
          <w:smallCaps/>
          <w:lang w:val="en-US"/>
        </w:rPr>
        <w:t>Wright</w:t>
      </w:r>
      <w:r>
        <w:rPr>
          <w:rFonts w:ascii="Times New Roman" w:hAnsi="Times New Roman" w:cs="Times New Roman"/>
          <w:lang w:val="en-US"/>
        </w:rPr>
        <w:t xml:space="preserve">: </w:t>
      </w:r>
      <w:r>
        <w:rPr>
          <w:rFonts w:ascii="Times New Roman" w:hAnsi="Times New Roman" w:cs="Times New Roman"/>
          <w:i/>
          <w:iCs/>
          <w:lang w:val="en-US"/>
        </w:rPr>
        <w:t>Domain Errors! Cyberfeminist Practices</w:t>
      </w:r>
      <w:r>
        <w:rPr>
          <w:rFonts w:ascii="Times New Roman" w:hAnsi="Times New Roman" w:cs="Times New Roman"/>
          <w:lang w:val="en-US"/>
        </w:rPr>
        <w:t>. New York: Autonomedia, S. 17-28.</w:t>
      </w:r>
    </w:p>
    <w:p>
      <w:pPr>
        <w:spacing w:line="360" w:lineRule="auto"/>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Gajjala</w:t>
      </w:r>
      <w:r>
        <w:rPr>
          <w:rFonts w:ascii="Times New Roman" w:hAnsi="Times New Roman" w:cs="Times New Roman"/>
          <w:lang w:val="en-US"/>
        </w:rPr>
        <w:t xml:space="preserve">, Radhika und Yeon Ju </w:t>
      </w:r>
      <w:r>
        <w:rPr>
          <w:rFonts w:ascii="Times New Roman" w:hAnsi="Times New Roman" w:cs="Times New Roman"/>
          <w:smallCaps/>
          <w:lang w:val="en-US"/>
        </w:rPr>
        <w:t>Oh</w:t>
      </w:r>
      <w:r>
        <w:rPr>
          <w:rFonts w:ascii="Times New Roman" w:hAnsi="Times New Roman" w:cs="Times New Roman"/>
          <w:lang w:val="en-US"/>
        </w:rPr>
        <w:t xml:space="preserve"> (2012): Introduction: Cyberfeminism 2.0: Where Have All the Cyberfeminists Gone?. In: </w:t>
      </w:r>
      <w:r>
        <w:rPr>
          <w:rFonts w:ascii="Times New Roman" w:hAnsi="Times New Roman" w:cs="Times New Roman"/>
          <w:smallCaps/>
          <w:lang w:val="en-US"/>
        </w:rPr>
        <w:t>Gajjala</w:t>
      </w:r>
      <w:r>
        <w:rPr>
          <w:rFonts w:ascii="Times New Roman" w:hAnsi="Times New Roman" w:cs="Times New Roman"/>
          <w:lang w:val="en-US"/>
        </w:rPr>
        <w:t xml:space="preserve">, Radhika und Yeon Ju </w:t>
      </w:r>
      <w:r>
        <w:rPr>
          <w:rFonts w:ascii="Times New Roman" w:hAnsi="Times New Roman" w:cs="Times New Roman"/>
          <w:smallCaps/>
          <w:lang w:val="en-US"/>
        </w:rPr>
        <w:t>Oh</w:t>
      </w:r>
      <w:r>
        <w:rPr>
          <w:rFonts w:ascii="Times New Roman" w:hAnsi="Times New Roman" w:cs="Times New Roman"/>
          <w:lang w:val="en-US"/>
        </w:rPr>
        <w:t xml:space="preserve"> (Hg.): </w:t>
      </w:r>
      <w:r>
        <w:rPr>
          <w:rFonts w:ascii="Times New Roman" w:hAnsi="Times New Roman" w:cs="Times New Roman"/>
          <w:i/>
          <w:iCs/>
          <w:lang w:val="en-US"/>
        </w:rPr>
        <w:t>Cyberfeminism 2.0</w:t>
      </w:r>
      <w:r>
        <w:rPr>
          <w:rFonts w:ascii="Times New Roman" w:hAnsi="Times New Roman" w:cs="Times New Roman"/>
          <w:lang w:val="en-US"/>
        </w:rPr>
        <w:t>. New York: Peter Lang Publishing, Inc., S. 1-10.</w:t>
      </w:r>
    </w:p>
    <w:p>
      <w:pPr>
        <w:spacing w:line="360" w:lineRule="auto"/>
        <w:ind w:left="567" w:hanging="567"/>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Garcés-Conejos Blitvich</w:t>
      </w:r>
      <w:r>
        <w:rPr>
          <w:rFonts w:ascii="Times New Roman" w:hAnsi="Times New Roman" w:cs="Times New Roman"/>
          <w:lang w:val="en-US"/>
        </w:rPr>
        <w:t xml:space="preserve">, Pilar; </w:t>
      </w:r>
      <w:r>
        <w:rPr>
          <w:rFonts w:ascii="Times New Roman" w:hAnsi="Times New Roman" w:cs="Times New Roman"/>
          <w:smallCaps/>
          <w:lang w:val="en-US"/>
        </w:rPr>
        <w:t>Lorenzo-Dus</w:t>
      </w:r>
      <w:r>
        <w:rPr>
          <w:rFonts w:ascii="Times New Roman" w:hAnsi="Times New Roman" w:cs="Times New Roman"/>
          <w:lang w:val="en-US"/>
        </w:rPr>
        <w:t xml:space="preserve">, Nuria und Patricia </w:t>
      </w:r>
      <w:r>
        <w:rPr>
          <w:rFonts w:ascii="Times New Roman" w:hAnsi="Times New Roman" w:cs="Times New Roman"/>
          <w:smallCaps/>
          <w:lang w:val="en-US"/>
        </w:rPr>
        <w:t>Bou-Franch</w:t>
      </w:r>
      <w:r>
        <w:rPr>
          <w:rFonts w:ascii="Times New Roman" w:hAnsi="Times New Roman" w:cs="Times New Roman"/>
          <w:lang w:val="en-US"/>
        </w:rPr>
        <w:t xml:space="preserve"> (2013): Relational work in anonymous, asynchronous communication: A study of (dis)affiliation in Youtube. In: </w:t>
      </w:r>
      <w:r>
        <w:rPr>
          <w:rFonts w:ascii="Times New Roman" w:hAnsi="Times New Roman" w:cs="Times New Roman"/>
          <w:smallCaps/>
          <w:lang w:val="en-US"/>
        </w:rPr>
        <w:t>Kecskes</w:t>
      </w:r>
      <w:r>
        <w:rPr>
          <w:rFonts w:ascii="Times New Roman" w:hAnsi="Times New Roman" w:cs="Times New Roman"/>
          <w:lang w:val="en-US"/>
        </w:rPr>
        <w:t xml:space="preserve">, Istvan und Jesus </w:t>
      </w:r>
      <w:r>
        <w:rPr>
          <w:rFonts w:ascii="Times New Roman" w:hAnsi="Times New Roman" w:cs="Times New Roman"/>
          <w:smallCaps/>
          <w:lang w:val="en-US"/>
        </w:rPr>
        <w:t>Romero-Trillo</w:t>
      </w:r>
      <w:r>
        <w:rPr>
          <w:rFonts w:ascii="Times New Roman" w:hAnsi="Times New Roman" w:cs="Times New Roman"/>
          <w:lang w:val="en-US"/>
        </w:rPr>
        <w:t xml:space="preserve"> (Hg.): </w:t>
      </w:r>
      <w:r>
        <w:rPr>
          <w:rFonts w:ascii="Times New Roman" w:hAnsi="Times New Roman" w:cs="Times New Roman"/>
          <w:i/>
          <w:iCs/>
          <w:lang w:val="en-US"/>
        </w:rPr>
        <w:t>Linguistic Aspects of Intercultural Pragmatics</w:t>
      </w:r>
      <w:r>
        <w:rPr>
          <w:rFonts w:ascii="Times New Roman" w:hAnsi="Times New Roman" w:cs="Times New Roman"/>
          <w:lang w:val="en-US"/>
        </w:rPr>
        <w:t>, Berlin: Mouton de Gruyter, S. 343-365.</w:t>
      </w:r>
    </w:p>
    <w:p>
      <w:pPr>
        <w:spacing w:line="360" w:lineRule="auto"/>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Gelber</w:t>
      </w:r>
      <w:r>
        <w:rPr>
          <w:rFonts w:ascii="Times New Roman" w:hAnsi="Times New Roman" w:cs="Times New Roman"/>
          <w:lang w:val="en-US"/>
        </w:rPr>
        <w:t xml:space="preserve">, Katharine (2019): Differentiation hate speech: a systemic discrimination approach. In: </w:t>
      </w:r>
      <w:r>
        <w:rPr>
          <w:rFonts w:ascii="Times New Roman" w:hAnsi="Times New Roman" w:cs="Times New Roman"/>
          <w:i/>
          <w:iCs/>
          <w:lang w:val="en-US"/>
        </w:rPr>
        <w:t>Critical Review of International Social and Political Philosophy</w:t>
      </w:r>
      <w:r>
        <w:rPr>
          <w:rFonts w:ascii="Times New Roman" w:hAnsi="Times New Roman" w:cs="Times New Roman"/>
          <w:lang w:val="en-US"/>
        </w:rPr>
        <w:t xml:space="preserve">. </w:t>
      </w:r>
      <w:hyperlink r:id="rId8" w:history="1">
        <w:r>
          <w:rPr>
            <w:rStyle w:val="Hyperlink"/>
            <w:rFonts w:ascii="Times New Roman" w:hAnsi="Times New Roman" w:cs="Times New Roman"/>
            <w:lang w:val="en-US"/>
          </w:rPr>
          <w:t>https://www.tandfonline.com/doi/full/</w:t>
        </w:r>
        <w:r>
          <w:rPr>
            <w:rStyle w:val="Hyperlink"/>
            <w:rFonts w:ascii="Times New Roman" w:hAnsi="Times New Roman" w:cs="Times New Roman"/>
            <w:lang w:val="en-US"/>
          </w:rPr>
          <w:softHyphen/>
          <w:t>10.1080/13698230.2019.1576006</w:t>
        </w:r>
      </w:hyperlink>
      <w:r>
        <w:rPr>
          <w:rFonts w:ascii="Times New Roman" w:hAnsi="Times New Roman" w:cs="Times New Roman"/>
          <w:lang w:val="en-US"/>
        </w:rPr>
        <w:t xml:space="preserve"> (letzter Abruf 19.08.2019). </w:t>
      </w:r>
    </w:p>
    <w:p>
      <w:pPr>
        <w:spacing w:line="360" w:lineRule="auto"/>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Glick</w:t>
      </w:r>
      <w:r>
        <w:rPr>
          <w:rFonts w:ascii="Times New Roman" w:hAnsi="Times New Roman" w:cs="Times New Roman"/>
          <w:lang w:val="en-US"/>
        </w:rPr>
        <w:t xml:space="preserve">, Peter und Susan T. </w:t>
      </w:r>
      <w:r>
        <w:rPr>
          <w:rFonts w:ascii="Times New Roman" w:hAnsi="Times New Roman" w:cs="Times New Roman"/>
          <w:smallCaps/>
          <w:lang w:val="en-US"/>
        </w:rPr>
        <w:t>Fiske</w:t>
      </w:r>
      <w:r>
        <w:rPr>
          <w:rFonts w:ascii="Times New Roman" w:hAnsi="Times New Roman" w:cs="Times New Roman"/>
          <w:lang w:val="en-US"/>
        </w:rPr>
        <w:t xml:space="preserve"> (2001): An Ambivalent Alliance. Hostile and Benevolent Sexism as Complementary Justifications for Gender Inequality. In: </w:t>
      </w:r>
      <w:r>
        <w:rPr>
          <w:rFonts w:ascii="Times New Roman" w:hAnsi="Times New Roman" w:cs="Times New Roman"/>
          <w:i/>
          <w:iCs/>
          <w:lang w:val="en-US"/>
        </w:rPr>
        <w:t>American Psychologist</w:t>
      </w:r>
      <w:r>
        <w:rPr>
          <w:rFonts w:ascii="Times New Roman" w:hAnsi="Times New Roman" w:cs="Times New Roman"/>
          <w:lang w:val="en-US"/>
        </w:rPr>
        <w:t>, 56, 2, S. 109-118.</w:t>
      </w:r>
    </w:p>
    <w:p>
      <w:pPr>
        <w:spacing w:line="360" w:lineRule="auto"/>
        <w:ind w:left="567" w:hanging="567"/>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Grillo</w:t>
      </w:r>
      <w:r>
        <w:rPr>
          <w:rFonts w:ascii="Times New Roman" w:hAnsi="Times New Roman" w:cs="Times New Roman"/>
          <w:lang w:val="en-US"/>
        </w:rPr>
        <w:t xml:space="preserve">, Trina und Stephanie M. </w:t>
      </w:r>
      <w:r>
        <w:rPr>
          <w:rFonts w:ascii="Times New Roman" w:hAnsi="Times New Roman" w:cs="Times New Roman"/>
          <w:smallCaps/>
          <w:lang w:val="en-US"/>
        </w:rPr>
        <w:t>Wildman</w:t>
      </w:r>
      <w:r>
        <w:rPr>
          <w:rFonts w:ascii="Times New Roman" w:hAnsi="Times New Roman" w:cs="Times New Roman"/>
          <w:lang w:val="en-US"/>
        </w:rPr>
        <w:t xml:space="preserve"> (1991): Obscuring the Importance of Race: The Implication of Making Comparisons between Racism and Sexism (Or Other -Isms). In: </w:t>
      </w:r>
      <w:r>
        <w:rPr>
          <w:rFonts w:ascii="Times New Roman" w:hAnsi="Times New Roman" w:cs="Times New Roman"/>
          <w:i/>
          <w:iCs/>
          <w:lang w:val="en-US"/>
        </w:rPr>
        <w:t>Duke Law Journal</w:t>
      </w:r>
      <w:r>
        <w:rPr>
          <w:rFonts w:ascii="Times New Roman" w:hAnsi="Times New Roman" w:cs="Times New Roman"/>
          <w:lang w:val="en-US"/>
        </w:rPr>
        <w:t>, 2, S. 397-412.</w:t>
      </w:r>
    </w:p>
    <w:p>
      <w:pPr>
        <w:spacing w:line="360" w:lineRule="auto"/>
        <w:ind w:left="567" w:hanging="567"/>
        <w:jc w:val="both"/>
        <w:rPr>
          <w:rFonts w:ascii="Times New Roman" w:hAnsi="Times New Roman" w:cs="Times New Roman"/>
          <w:smallCaps/>
          <w:sz w:val="24"/>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lastRenderedPageBreak/>
        <w:t>Heo</w:t>
      </w:r>
      <w:r>
        <w:rPr>
          <w:rFonts w:ascii="Times New Roman" w:hAnsi="Times New Roman" w:cs="Times New Roman"/>
          <w:lang w:val="en-US"/>
        </w:rPr>
        <w:t xml:space="preserve">, MinSook (2010): Women’s movement and the politics of framing: The construction of anti-domestic violence legislation in South Korea. In: </w:t>
      </w:r>
      <w:r>
        <w:rPr>
          <w:rFonts w:ascii="Times New Roman" w:hAnsi="Times New Roman" w:cs="Times New Roman"/>
          <w:i/>
          <w:iCs/>
          <w:lang w:val="en-US"/>
        </w:rPr>
        <w:t>Women’s Studies International Forum</w:t>
      </w:r>
      <w:r>
        <w:rPr>
          <w:rFonts w:ascii="Times New Roman" w:hAnsi="Times New Roman" w:cs="Times New Roman"/>
          <w:lang w:val="en-US"/>
        </w:rPr>
        <w:t>, 33, S. 225-233.</w:t>
      </w:r>
    </w:p>
    <w:p>
      <w:pPr>
        <w:spacing w:line="360" w:lineRule="auto"/>
        <w:ind w:left="567" w:hanging="567"/>
        <w:jc w:val="both"/>
        <w:rPr>
          <w:rFonts w:ascii="Times New Roman" w:hAnsi="Times New Roman" w:cs="Times New Roman"/>
          <w:smallCaps/>
          <w:sz w:val="24"/>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 xml:space="preserve">Kim, </w:t>
      </w:r>
      <w:r>
        <w:rPr>
          <w:rFonts w:ascii="Times New Roman" w:hAnsi="Times New Roman" w:cs="Times New Roman"/>
          <w:lang w:val="en-US"/>
        </w:rPr>
        <w:t xml:space="preserve">Arin (25.06.2019): Seungri referred to prosecutors on embezzlement, sex crime, prostitution charges, among others: police. In: </w:t>
      </w:r>
      <w:r>
        <w:rPr>
          <w:rFonts w:ascii="Times New Roman" w:hAnsi="Times New Roman" w:cs="Times New Roman"/>
          <w:i/>
          <w:iCs/>
          <w:lang w:val="en-US"/>
        </w:rPr>
        <w:t>The Korea Herald</w:t>
      </w:r>
      <w:r>
        <w:rPr>
          <w:rFonts w:ascii="Times New Roman" w:hAnsi="Times New Roman" w:cs="Times New Roman"/>
          <w:lang w:val="en-US"/>
        </w:rPr>
        <w:t xml:space="preserve">. </w:t>
      </w:r>
      <w:hyperlink r:id="rId9" w:history="1">
        <w:r>
          <w:rPr>
            <w:rStyle w:val="Hyperlink"/>
            <w:rFonts w:ascii="Times New Roman" w:hAnsi="Times New Roman" w:cs="Times New Roman"/>
            <w:lang w:val="en-US"/>
          </w:rPr>
          <w:t>http://www.koreaherald.com/view.php?</w:t>
        </w:r>
        <w:r>
          <w:rPr>
            <w:rStyle w:val="Hyperlink"/>
            <w:rFonts w:ascii="Times New Roman" w:hAnsi="Times New Roman" w:cs="Times New Roman"/>
            <w:lang w:val="en-US"/>
          </w:rPr>
          <w:softHyphen/>
          <w:t>ud=20190625000810</w:t>
        </w:r>
      </w:hyperlink>
      <w:r>
        <w:rPr>
          <w:rFonts w:ascii="Times New Roman" w:hAnsi="Times New Roman" w:cs="Times New Roman"/>
          <w:lang w:val="en-US"/>
        </w:rPr>
        <w:t xml:space="preserve"> (letzter Abruf 17.07.2019).</w:t>
      </w:r>
    </w:p>
    <w:p>
      <w:pPr>
        <w:spacing w:line="360" w:lineRule="auto"/>
        <w:ind w:left="567" w:hanging="567"/>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i/>
          <w:iCs/>
          <w:lang w:val="en-US"/>
        </w:rPr>
        <w:t>The Korea Herald</w:t>
      </w:r>
      <w:r>
        <w:rPr>
          <w:rFonts w:ascii="Times New Roman" w:hAnsi="Times New Roman" w:cs="Times New Roman"/>
          <w:lang w:val="en-US"/>
        </w:rPr>
        <w:t xml:space="preserve"> (27.06.2019): Singers Jung Joon-young, Choi Jong-hoon deny rape charges in court hearing. </w:t>
      </w:r>
      <w:hyperlink r:id="rId10" w:history="1">
        <w:r>
          <w:rPr>
            <w:rStyle w:val="Hyperlink"/>
            <w:rFonts w:ascii="Times New Roman" w:hAnsi="Times New Roman" w:cs="Times New Roman"/>
            <w:lang w:val="en-US"/>
          </w:rPr>
          <w:t>http://www.koreaherald.com/view.php?ud=20190627000655</w:t>
        </w:r>
      </w:hyperlink>
      <w:r>
        <w:rPr>
          <w:rFonts w:ascii="Times New Roman" w:hAnsi="Times New Roman" w:cs="Times New Roman"/>
          <w:lang w:val="en-US"/>
        </w:rPr>
        <w:t xml:space="preserve"> (letzter Abruf 17.07.2019).</w:t>
      </w:r>
    </w:p>
    <w:p>
      <w:pPr>
        <w:spacing w:line="360" w:lineRule="auto"/>
        <w:ind w:left="567" w:hanging="567"/>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Langton</w:t>
      </w:r>
      <w:r>
        <w:rPr>
          <w:rFonts w:ascii="Times New Roman" w:hAnsi="Times New Roman" w:cs="Times New Roman"/>
          <w:lang w:val="en-US"/>
        </w:rPr>
        <w:t>, Rae (2009): Sexual solipsism: philosophical essays on pornography and objectification. Oxford: Oxford University Press.</w:t>
      </w:r>
    </w:p>
    <w:p>
      <w:pPr>
        <w:spacing w:line="360" w:lineRule="auto"/>
        <w:ind w:left="567" w:hanging="567"/>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Manne,</w:t>
      </w:r>
      <w:r>
        <w:rPr>
          <w:rFonts w:ascii="Times New Roman" w:hAnsi="Times New Roman" w:cs="Times New Roman"/>
          <w:lang w:val="en-US"/>
        </w:rPr>
        <w:t xml:space="preserve"> Kate (2018): </w:t>
      </w:r>
      <w:r>
        <w:rPr>
          <w:rFonts w:ascii="Times New Roman" w:hAnsi="Times New Roman" w:cs="Times New Roman"/>
          <w:i/>
          <w:iCs/>
          <w:lang w:val="en-US"/>
        </w:rPr>
        <w:t>Down Girl. The Logic of Misogyny</w:t>
      </w:r>
      <w:r>
        <w:rPr>
          <w:rFonts w:ascii="Times New Roman" w:hAnsi="Times New Roman" w:cs="Times New Roman"/>
          <w:lang w:val="en-US"/>
        </w:rPr>
        <w:t>. Oxford: Oxford University Press.</w:t>
      </w:r>
    </w:p>
    <w:p>
      <w:pPr>
        <w:spacing w:line="360" w:lineRule="auto"/>
        <w:ind w:left="567" w:hanging="567"/>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Marwick</w:t>
      </w:r>
      <w:r>
        <w:rPr>
          <w:rFonts w:ascii="Times New Roman" w:hAnsi="Times New Roman" w:cs="Times New Roman"/>
          <w:lang w:val="en-US"/>
        </w:rPr>
        <w:t xml:space="preserve">, Alice E. und Robyn </w:t>
      </w:r>
      <w:r>
        <w:rPr>
          <w:rFonts w:ascii="Times New Roman" w:hAnsi="Times New Roman" w:cs="Times New Roman"/>
          <w:smallCaps/>
          <w:lang w:val="en-US"/>
        </w:rPr>
        <w:t>Caplan</w:t>
      </w:r>
      <w:r>
        <w:rPr>
          <w:rFonts w:ascii="Times New Roman" w:hAnsi="Times New Roman" w:cs="Times New Roman"/>
          <w:lang w:val="en-US"/>
        </w:rPr>
        <w:t xml:space="preserve"> (2018): Drinking male tears: language, the manosphere, and networked harassment. In: </w:t>
      </w:r>
      <w:r>
        <w:rPr>
          <w:rFonts w:ascii="Times New Roman" w:hAnsi="Times New Roman" w:cs="Times New Roman"/>
          <w:i/>
          <w:iCs/>
          <w:lang w:val="en-US"/>
        </w:rPr>
        <w:t>Feminist Media Studies</w:t>
      </w:r>
      <w:r>
        <w:rPr>
          <w:rFonts w:ascii="Times New Roman" w:hAnsi="Times New Roman" w:cs="Times New Roman"/>
          <w:lang w:val="en-US"/>
        </w:rPr>
        <w:t>, 18, 4, S. 543-559.</w:t>
      </w:r>
    </w:p>
    <w:p>
      <w:pPr>
        <w:spacing w:line="360" w:lineRule="auto"/>
        <w:ind w:left="567" w:hanging="567"/>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Milford</w:t>
      </w:r>
      <w:r>
        <w:rPr>
          <w:rFonts w:ascii="Times New Roman" w:hAnsi="Times New Roman" w:cs="Times New Roman"/>
          <w:lang w:val="en-US"/>
        </w:rPr>
        <w:t xml:space="preserve">, Trevor Scott (2015): Revisiting Cyberfeminism: Theory as a Tool for Understanding Young Women’s Experiences. In: </w:t>
      </w:r>
      <w:r>
        <w:rPr>
          <w:rFonts w:ascii="Times New Roman" w:hAnsi="Times New Roman" w:cs="Times New Roman"/>
          <w:smallCaps/>
          <w:lang w:val="en-US"/>
        </w:rPr>
        <w:t>Bailey</w:t>
      </w:r>
      <w:r>
        <w:rPr>
          <w:rFonts w:ascii="Times New Roman" w:hAnsi="Times New Roman" w:cs="Times New Roman"/>
          <w:lang w:val="en-US"/>
        </w:rPr>
        <w:t xml:space="preserve">, Jane und Valerie </w:t>
      </w:r>
      <w:r>
        <w:rPr>
          <w:rFonts w:ascii="Times New Roman" w:hAnsi="Times New Roman" w:cs="Times New Roman"/>
          <w:smallCaps/>
          <w:lang w:val="en-US"/>
        </w:rPr>
        <w:t xml:space="preserve">Steeves </w:t>
      </w:r>
      <w:r>
        <w:rPr>
          <w:rFonts w:ascii="Times New Roman" w:hAnsi="Times New Roman" w:cs="Times New Roman"/>
          <w:lang w:val="en-US"/>
        </w:rPr>
        <w:t xml:space="preserve">(Hg.): </w:t>
      </w:r>
      <w:r>
        <w:rPr>
          <w:rFonts w:ascii="Times New Roman" w:hAnsi="Times New Roman" w:cs="Times New Roman"/>
          <w:i/>
          <w:iCs/>
          <w:lang w:val="en-US"/>
        </w:rPr>
        <w:t>eGirls, eCitizens: Putting Technology, Theory and Policy into Dialogue with Girls’ and Young Women’s Voices</w:t>
      </w:r>
      <w:r>
        <w:rPr>
          <w:rFonts w:ascii="Times New Roman" w:hAnsi="Times New Roman" w:cs="Times New Roman"/>
          <w:lang w:val="en-US"/>
        </w:rPr>
        <w:t>. Ottawa: University of Ottawa Press, S. 55-82.</w:t>
      </w:r>
    </w:p>
    <w:p>
      <w:pPr>
        <w:spacing w:line="360" w:lineRule="auto"/>
        <w:ind w:left="567" w:hanging="567"/>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bookmarkStart w:id="1" w:name="_Hlk14878334"/>
      <w:r>
        <w:rPr>
          <w:rFonts w:ascii="Times New Roman" w:hAnsi="Times New Roman" w:cs="Times New Roman"/>
          <w:smallCaps/>
          <w:lang w:val="en-US"/>
        </w:rPr>
        <w:t>Nathanson</w:t>
      </w:r>
      <w:r>
        <w:rPr>
          <w:rFonts w:ascii="Times New Roman" w:hAnsi="Times New Roman" w:cs="Times New Roman"/>
          <w:lang w:val="en-US"/>
        </w:rPr>
        <w:t xml:space="preserve">, Paul und Katherine K. </w:t>
      </w:r>
      <w:r>
        <w:rPr>
          <w:rFonts w:ascii="Times New Roman" w:hAnsi="Times New Roman" w:cs="Times New Roman"/>
          <w:smallCaps/>
          <w:lang w:val="en-US"/>
        </w:rPr>
        <w:t>Young</w:t>
      </w:r>
      <w:r>
        <w:rPr>
          <w:rFonts w:ascii="Times New Roman" w:hAnsi="Times New Roman" w:cs="Times New Roman"/>
          <w:lang w:val="en-US"/>
        </w:rPr>
        <w:t xml:space="preserve"> (2014): Misogyny versus Misandry</w:t>
      </w:r>
      <w:bookmarkEnd w:id="1"/>
      <w:r>
        <w:rPr>
          <w:rFonts w:ascii="Times New Roman" w:hAnsi="Times New Roman" w:cs="Times New Roman"/>
          <w:lang w:val="en-US"/>
        </w:rPr>
        <w:t xml:space="preserve">: From ‘Comparative Suffering’ to Inter-Sexual Dialogue. In: </w:t>
      </w:r>
      <w:r>
        <w:rPr>
          <w:rFonts w:ascii="Times New Roman" w:hAnsi="Times New Roman" w:cs="Times New Roman"/>
          <w:i/>
          <w:iCs/>
          <w:lang w:val="en-US"/>
        </w:rPr>
        <w:t>New Male Studies</w:t>
      </w:r>
      <w:r>
        <w:rPr>
          <w:rFonts w:ascii="Times New Roman" w:hAnsi="Times New Roman" w:cs="Times New Roman"/>
          <w:lang w:val="en-US"/>
        </w:rPr>
        <w:t>, 3, 3, S. 72-92.</w:t>
      </w:r>
    </w:p>
    <w:p>
      <w:pPr>
        <w:spacing w:line="360" w:lineRule="auto"/>
        <w:ind w:left="567" w:hanging="567"/>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Nussbaum</w:t>
      </w:r>
      <w:r>
        <w:rPr>
          <w:rFonts w:ascii="Times New Roman" w:hAnsi="Times New Roman" w:cs="Times New Roman"/>
          <w:lang w:val="en-US"/>
        </w:rPr>
        <w:t xml:space="preserve">, Martha C. (2010): Objectification and Internet Misogyny. In: </w:t>
      </w:r>
      <w:r>
        <w:rPr>
          <w:rFonts w:ascii="Times New Roman" w:hAnsi="Times New Roman" w:cs="Times New Roman"/>
          <w:smallCaps/>
          <w:lang w:val="en-US"/>
        </w:rPr>
        <w:t>Levmore</w:t>
      </w:r>
      <w:r>
        <w:rPr>
          <w:rFonts w:ascii="Times New Roman" w:hAnsi="Times New Roman" w:cs="Times New Roman"/>
          <w:lang w:val="en-US"/>
        </w:rPr>
        <w:t xml:space="preserve">, Saul und Martha C. </w:t>
      </w:r>
      <w:r>
        <w:rPr>
          <w:rFonts w:ascii="Times New Roman" w:hAnsi="Times New Roman" w:cs="Times New Roman"/>
          <w:smallCaps/>
          <w:lang w:val="en-US"/>
        </w:rPr>
        <w:t>Nussbaum</w:t>
      </w:r>
      <w:r>
        <w:rPr>
          <w:rFonts w:ascii="Times New Roman" w:hAnsi="Times New Roman" w:cs="Times New Roman"/>
          <w:lang w:val="en-US"/>
        </w:rPr>
        <w:t>: The Offensive Internet. Speech, Privacy, and Reputation. Cambridge: Harvard University Press, S. 68-90.</w:t>
      </w:r>
    </w:p>
    <w:p>
      <w:pPr>
        <w:spacing w:line="360" w:lineRule="auto"/>
        <w:ind w:left="567" w:hanging="567"/>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O’Brien</w:t>
      </w:r>
      <w:r>
        <w:rPr>
          <w:rFonts w:ascii="Times New Roman" w:hAnsi="Times New Roman" w:cs="Times New Roman"/>
          <w:lang w:val="en-US"/>
        </w:rPr>
        <w:t xml:space="preserve">, Laurie T. und Brenda </w:t>
      </w:r>
      <w:r>
        <w:rPr>
          <w:rFonts w:ascii="Times New Roman" w:hAnsi="Times New Roman" w:cs="Times New Roman"/>
          <w:smallCaps/>
          <w:lang w:val="en-US"/>
        </w:rPr>
        <w:t>Major</w:t>
      </w:r>
      <w:r>
        <w:rPr>
          <w:rFonts w:ascii="Times New Roman" w:hAnsi="Times New Roman" w:cs="Times New Roman"/>
          <w:lang w:val="en-US"/>
        </w:rPr>
        <w:t xml:space="preserve"> (2009): Group Status and Feelings of a Personal Entitlement: The Roles of Social Comparison and System-Justifying Beliefs. In: </w:t>
      </w:r>
      <w:r>
        <w:rPr>
          <w:rFonts w:ascii="Times New Roman" w:hAnsi="Times New Roman" w:cs="Times New Roman"/>
          <w:smallCaps/>
          <w:lang w:val="en-US"/>
        </w:rPr>
        <w:t>Jost</w:t>
      </w:r>
      <w:r>
        <w:rPr>
          <w:rFonts w:ascii="Times New Roman" w:hAnsi="Times New Roman" w:cs="Times New Roman"/>
          <w:lang w:val="en-US"/>
        </w:rPr>
        <w:t xml:space="preserve">, John T.; </w:t>
      </w:r>
      <w:r>
        <w:rPr>
          <w:rFonts w:ascii="Times New Roman" w:hAnsi="Times New Roman" w:cs="Times New Roman"/>
          <w:smallCaps/>
          <w:lang w:val="en-US"/>
        </w:rPr>
        <w:t>Kay</w:t>
      </w:r>
      <w:r>
        <w:rPr>
          <w:rFonts w:ascii="Times New Roman" w:hAnsi="Times New Roman" w:cs="Times New Roman"/>
          <w:lang w:val="en-US"/>
        </w:rPr>
        <w:t xml:space="preserve">, Aaron C. und Hulda </w:t>
      </w:r>
      <w:r>
        <w:rPr>
          <w:rFonts w:ascii="Times New Roman" w:hAnsi="Times New Roman" w:cs="Times New Roman"/>
          <w:smallCaps/>
          <w:lang w:val="en-US"/>
        </w:rPr>
        <w:t>Thorisdottir</w:t>
      </w:r>
      <w:r>
        <w:rPr>
          <w:rFonts w:ascii="Times New Roman" w:hAnsi="Times New Roman" w:cs="Times New Roman"/>
          <w:lang w:val="en-US"/>
        </w:rPr>
        <w:t xml:space="preserve">: </w:t>
      </w:r>
      <w:r>
        <w:rPr>
          <w:rFonts w:ascii="Times New Roman" w:hAnsi="Times New Roman" w:cs="Times New Roman"/>
          <w:i/>
          <w:iCs/>
          <w:lang w:val="en-US"/>
        </w:rPr>
        <w:t>Social and Psychological Bases of Ideology and System Justification</w:t>
      </w:r>
      <w:r>
        <w:rPr>
          <w:rFonts w:ascii="Times New Roman" w:hAnsi="Times New Roman" w:cs="Times New Roman"/>
          <w:lang w:val="en-US"/>
        </w:rPr>
        <w:t>. Oxford: Oxford University Press, S. 427-443.</w:t>
      </w:r>
    </w:p>
    <w:p>
      <w:pPr>
        <w:spacing w:line="360" w:lineRule="auto"/>
        <w:ind w:left="567" w:hanging="567"/>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lastRenderedPageBreak/>
        <w:t>Oh</w:t>
      </w:r>
      <w:r>
        <w:rPr>
          <w:rFonts w:ascii="Times New Roman" w:hAnsi="Times New Roman" w:cs="Times New Roman"/>
          <w:lang w:val="en-US"/>
        </w:rPr>
        <w:t xml:space="preserve">, Yeon Ju (2012): Is Your Space Safe? Cyberfeminist Movement for Space Online at Unnine. In: </w:t>
      </w:r>
      <w:r>
        <w:rPr>
          <w:rFonts w:ascii="Times New Roman" w:hAnsi="Times New Roman" w:cs="Times New Roman"/>
          <w:smallCaps/>
          <w:lang w:val="en-US"/>
        </w:rPr>
        <w:t>Gajjala</w:t>
      </w:r>
      <w:r>
        <w:rPr>
          <w:rFonts w:ascii="Times New Roman" w:hAnsi="Times New Roman" w:cs="Times New Roman"/>
          <w:lang w:val="en-US"/>
        </w:rPr>
        <w:t xml:space="preserve">, Radhika und Yeon Ju </w:t>
      </w:r>
      <w:r>
        <w:rPr>
          <w:rFonts w:ascii="Times New Roman" w:hAnsi="Times New Roman" w:cs="Times New Roman"/>
          <w:smallCaps/>
          <w:lang w:val="en-US"/>
        </w:rPr>
        <w:t>Oh</w:t>
      </w:r>
      <w:r>
        <w:rPr>
          <w:rFonts w:ascii="Times New Roman" w:hAnsi="Times New Roman" w:cs="Times New Roman"/>
          <w:lang w:val="en-US"/>
        </w:rPr>
        <w:t xml:space="preserve"> (Hg.): </w:t>
      </w:r>
      <w:r>
        <w:rPr>
          <w:rFonts w:ascii="Times New Roman" w:hAnsi="Times New Roman" w:cs="Times New Roman"/>
          <w:i/>
          <w:iCs/>
          <w:lang w:val="en-US"/>
        </w:rPr>
        <w:t>Cyberfeminism 2.0</w:t>
      </w:r>
      <w:r>
        <w:rPr>
          <w:rFonts w:ascii="Times New Roman" w:hAnsi="Times New Roman" w:cs="Times New Roman"/>
          <w:lang w:val="en-US"/>
        </w:rPr>
        <w:t>. New York: Peter Lang Publishing, Inc., S. 245-262.</w:t>
      </w:r>
    </w:p>
    <w:p>
      <w:pPr>
        <w:spacing w:line="360" w:lineRule="auto"/>
        <w:ind w:left="567" w:hanging="567"/>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Rai</w:t>
      </w:r>
      <w:r>
        <w:rPr>
          <w:rFonts w:ascii="Times New Roman" w:hAnsi="Times New Roman" w:cs="Times New Roman"/>
          <w:lang w:val="en-US"/>
        </w:rPr>
        <w:t xml:space="preserve">, Gayatri (2017): Changing Perceptions and Meaning of Cyberfeminism. In: </w:t>
      </w:r>
      <w:r>
        <w:rPr>
          <w:rFonts w:ascii="Times New Roman" w:hAnsi="Times New Roman" w:cs="Times New Roman"/>
          <w:i/>
          <w:iCs/>
          <w:lang w:val="en-US"/>
        </w:rPr>
        <w:t>International Research Journal of Multidisciplinary Studies</w:t>
      </w:r>
      <w:r>
        <w:rPr>
          <w:rFonts w:ascii="Times New Roman" w:hAnsi="Times New Roman" w:cs="Times New Roman"/>
          <w:lang w:val="en-US"/>
        </w:rPr>
        <w:t xml:space="preserve">, 3, 4. </w:t>
      </w:r>
      <w:hyperlink r:id="rId11" w:history="1">
        <w:r>
          <w:rPr>
            <w:rStyle w:val="Hyperlink"/>
            <w:rFonts w:ascii="Times New Roman" w:hAnsi="Times New Roman" w:cs="Times New Roman"/>
            <w:lang w:val="en-US"/>
          </w:rPr>
          <w:t>http://www.irjms.in/sites/irjms/</w:t>
        </w:r>
        <w:r>
          <w:rPr>
            <w:rStyle w:val="Hyperlink"/>
            <w:rFonts w:ascii="Times New Roman" w:hAnsi="Times New Roman" w:cs="Times New Roman"/>
            <w:lang w:val="en-US"/>
          </w:rPr>
          <w:softHyphen/>
          <w:t>index.php/files/</w:t>
        </w:r>
        <w:r>
          <w:rPr>
            <w:rStyle w:val="Hyperlink"/>
            <w:rFonts w:ascii="Times New Roman" w:hAnsi="Times New Roman" w:cs="Times New Roman"/>
            <w:lang w:val="en-US"/>
          </w:rPr>
          <w:softHyphen/>
          <w:t>article/</w:t>
        </w:r>
        <w:r>
          <w:rPr>
            <w:rStyle w:val="Hyperlink"/>
            <w:rFonts w:ascii="Times New Roman" w:hAnsi="Times New Roman" w:cs="Times New Roman"/>
            <w:lang w:val="en-US"/>
          </w:rPr>
          <w:softHyphen/>
          <w:t>view/</w:t>
        </w:r>
        <w:r>
          <w:rPr>
            <w:rStyle w:val="Hyperlink"/>
            <w:rFonts w:ascii="Times New Roman" w:hAnsi="Times New Roman" w:cs="Times New Roman"/>
            <w:lang w:val="en-US"/>
          </w:rPr>
          <w:softHyphen/>
          <w:t>410</w:t>
        </w:r>
      </w:hyperlink>
      <w:r>
        <w:rPr>
          <w:rFonts w:ascii="Times New Roman" w:hAnsi="Times New Roman" w:cs="Times New Roman"/>
          <w:lang w:val="en-US"/>
        </w:rPr>
        <w:t xml:space="preserve"> (letzter Abruf 19.08.2019).</w:t>
      </w:r>
    </w:p>
    <w:p>
      <w:pPr>
        <w:spacing w:line="360" w:lineRule="auto"/>
        <w:ind w:left="567" w:hanging="567"/>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Reicher</w:t>
      </w:r>
      <w:r>
        <w:rPr>
          <w:rFonts w:ascii="Times New Roman" w:hAnsi="Times New Roman" w:cs="Times New Roman"/>
          <w:lang w:val="en-US"/>
        </w:rPr>
        <w:t xml:space="preserve">, S.D.; </w:t>
      </w:r>
      <w:r>
        <w:rPr>
          <w:rFonts w:ascii="Times New Roman" w:hAnsi="Times New Roman" w:cs="Times New Roman"/>
          <w:smallCaps/>
          <w:lang w:val="en-US"/>
        </w:rPr>
        <w:t>Spears</w:t>
      </w:r>
      <w:r>
        <w:rPr>
          <w:rFonts w:ascii="Times New Roman" w:hAnsi="Times New Roman" w:cs="Times New Roman"/>
          <w:lang w:val="en-US"/>
        </w:rPr>
        <w:t xml:space="preserve">, R. und T. </w:t>
      </w:r>
      <w:r>
        <w:rPr>
          <w:rFonts w:ascii="Times New Roman" w:hAnsi="Times New Roman" w:cs="Times New Roman"/>
          <w:smallCaps/>
          <w:lang w:val="en-US"/>
        </w:rPr>
        <w:t>Postmes</w:t>
      </w:r>
      <w:r>
        <w:rPr>
          <w:rFonts w:ascii="Times New Roman" w:hAnsi="Times New Roman" w:cs="Times New Roman"/>
          <w:lang w:val="en-US"/>
        </w:rPr>
        <w:t xml:space="preserve"> (1995): A Social Identity Model of Deindividuation Phenomena. In: </w:t>
      </w:r>
      <w:r>
        <w:rPr>
          <w:rFonts w:ascii="Times New Roman" w:hAnsi="Times New Roman" w:cs="Times New Roman"/>
          <w:i/>
          <w:iCs/>
          <w:lang w:val="en-US"/>
        </w:rPr>
        <w:t>European Review of Social Psychology</w:t>
      </w:r>
      <w:r>
        <w:rPr>
          <w:rFonts w:ascii="Times New Roman" w:hAnsi="Times New Roman" w:cs="Times New Roman"/>
          <w:lang w:val="en-US"/>
        </w:rPr>
        <w:t>, 6, 1, S. 161-198.</w:t>
      </w:r>
    </w:p>
    <w:p>
      <w:pPr>
        <w:spacing w:line="360" w:lineRule="auto"/>
        <w:ind w:left="567" w:hanging="567"/>
        <w:jc w:val="both"/>
        <w:rPr>
          <w:rFonts w:ascii="Times New Roman" w:hAnsi="Times New Roman" w:cs="Times New Roman"/>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Richardson-Self</w:t>
      </w:r>
      <w:r>
        <w:rPr>
          <w:rFonts w:ascii="Times New Roman" w:hAnsi="Times New Roman" w:cs="Times New Roman"/>
          <w:lang w:val="en-US"/>
        </w:rPr>
        <w:t xml:space="preserve">, Louise (2018): Woman-Hating: On Misogyny, Sexism, and Hate Speech. In: </w:t>
      </w:r>
      <w:r>
        <w:rPr>
          <w:rFonts w:ascii="Times New Roman" w:hAnsi="Times New Roman" w:cs="Times New Roman"/>
          <w:i/>
          <w:iCs/>
          <w:lang w:val="en-US"/>
        </w:rPr>
        <w:t>Hypatia: A Journal of Feminist Philosophy</w:t>
      </w:r>
      <w:r>
        <w:rPr>
          <w:rFonts w:ascii="Times New Roman" w:hAnsi="Times New Roman" w:cs="Times New Roman"/>
          <w:lang w:val="en-US"/>
        </w:rPr>
        <w:t>, 33, 2, S. 256-272.</w:t>
      </w:r>
    </w:p>
    <w:p>
      <w:pPr>
        <w:spacing w:line="360" w:lineRule="auto"/>
        <w:ind w:left="567" w:hanging="567"/>
        <w:jc w:val="both"/>
        <w:rPr>
          <w:rFonts w:ascii="Times New Roman" w:hAnsi="Times New Roman" w:cs="Times New Roman"/>
          <w:lang w:val="en-US"/>
        </w:rPr>
      </w:pPr>
    </w:p>
    <w:p>
      <w:pPr>
        <w:spacing w:line="360" w:lineRule="auto"/>
        <w:ind w:left="567" w:hanging="567"/>
        <w:jc w:val="both"/>
        <w:rPr>
          <w:rFonts w:ascii="Times New Roman" w:hAnsi="Times New Roman" w:cs="Times New Roman"/>
        </w:rPr>
      </w:pPr>
      <w:r>
        <w:rPr>
          <w:rFonts w:ascii="Times New Roman" w:hAnsi="Times New Roman" w:cs="Times New Roman"/>
          <w:smallCaps/>
          <w:lang w:val="en-US"/>
        </w:rPr>
        <w:t>Saeji</w:t>
      </w:r>
      <w:r>
        <w:rPr>
          <w:rFonts w:ascii="Times New Roman" w:hAnsi="Times New Roman" w:cs="Times New Roman"/>
          <w:lang w:val="en-US"/>
        </w:rPr>
        <w:t xml:space="preserve">, CedarBough T. (13.04.2019): The Seungri Scandal and South Korea’s Gender Disparity. </w:t>
      </w:r>
      <w:r>
        <w:rPr>
          <w:rFonts w:ascii="Times New Roman" w:hAnsi="Times New Roman" w:cs="Times New Roman"/>
        </w:rPr>
        <w:t xml:space="preserve">In: </w:t>
      </w:r>
      <w:r>
        <w:rPr>
          <w:rFonts w:ascii="Times New Roman" w:hAnsi="Times New Roman" w:cs="Times New Roman"/>
          <w:i/>
          <w:iCs/>
        </w:rPr>
        <w:t>Korea Exposé</w:t>
      </w:r>
      <w:r>
        <w:rPr>
          <w:rFonts w:ascii="Times New Roman" w:hAnsi="Times New Roman" w:cs="Times New Roman"/>
        </w:rPr>
        <w:t xml:space="preserve">. </w:t>
      </w:r>
      <w:hyperlink r:id="rId12" w:history="1">
        <w:r>
          <w:rPr>
            <w:rStyle w:val="Hyperlink"/>
            <w:rFonts w:ascii="Times New Roman" w:hAnsi="Times New Roman" w:cs="Times New Roman"/>
          </w:rPr>
          <w:t>https://www.koreaexpose.com/what-seungri-burning-sun-scandal-says-about-korea-gender-disparity/</w:t>
        </w:r>
      </w:hyperlink>
      <w:r>
        <w:rPr>
          <w:rFonts w:ascii="Times New Roman" w:hAnsi="Times New Roman" w:cs="Times New Roman"/>
        </w:rPr>
        <w:t xml:space="preserve"> (letzter Abruf 17.07.2019).</w:t>
      </w:r>
    </w:p>
    <w:p>
      <w:pPr>
        <w:spacing w:line="360" w:lineRule="auto"/>
        <w:ind w:left="567" w:hanging="567"/>
        <w:jc w:val="both"/>
        <w:rPr>
          <w:rFonts w:ascii="Times New Roman" w:hAnsi="Times New Roman" w:cs="Times New Roman"/>
        </w:rPr>
      </w:pPr>
    </w:p>
    <w:p>
      <w:pPr>
        <w:spacing w:line="360" w:lineRule="auto"/>
        <w:ind w:left="567" w:hanging="567"/>
        <w:jc w:val="both"/>
        <w:rPr>
          <w:rFonts w:ascii="Times New Roman" w:hAnsi="Times New Roman" w:cs="Times New Roman"/>
        </w:rPr>
      </w:pPr>
      <w:r>
        <w:rPr>
          <w:rFonts w:ascii="Times New Roman" w:hAnsi="Times New Roman" w:cs="Times New Roman"/>
          <w:smallCaps/>
        </w:rPr>
        <w:t>Sponholz</w:t>
      </w:r>
      <w:r>
        <w:rPr>
          <w:rFonts w:ascii="Times New Roman" w:hAnsi="Times New Roman" w:cs="Times New Roman"/>
        </w:rPr>
        <w:t xml:space="preserve">, Liriam (2018): Hate Speech. In: </w:t>
      </w:r>
      <w:r>
        <w:rPr>
          <w:rFonts w:ascii="Times New Roman" w:hAnsi="Times New Roman" w:cs="Times New Roman"/>
          <w:smallCaps/>
        </w:rPr>
        <w:t>Sponholz</w:t>
      </w:r>
      <w:r>
        <w:rPr>
          <w:rFonts w:ascii="Times New Roman" w:hAnsi="Times New Roman" w:cs="Times New Roman"/>
        </w:rPr>
        <w:t xml:space="preserve">, Liriam (Hg.): </w:t>
      </w:r>
      <w:r>
        <w:rPr>
          <w:rFonts w:ascii="Times New Roman" w:hAnsi="Times New Roman" w:cs="Times New Roman"/>
          <w:i/>
          <w:iCs/>
        </w:rPr>
        <w:t>Hate Speech in den Massenmedien. Theoretische Grundlagen und empirische Umsetzung.</w:t>
      </w:r>
      <w:r>
        <w:rPr>
          <w:rFonts w:ascii="Times New Roman" w:hAnsi="Times New Roman" w:cs="Times New Roman"/>
        </w:rPr>
        <w:t xml:space="preserve"> Wiesbaden: Springer VS, S. 31-92.</w:t>
      </w:r>
    </w:p>
    <w:p>
      <w:pPr>
        <w:spacing w:line="360" w:lineRule="auto"/>
        <w:ind w:left="567" w:hanging="567"/>
        <w:jc w:val="both"/>
        <w:rPr>
          <w:rFonts w:ascii="Times New Roman" w:hAnsi="Times New Roman" w:cs="Times New Roman"/>
        </w:rPr>
      </w:pPr>
    </w:p>
    <w:p>
      <w:pPr>
        <w:spacing w:line="360" w:lineRule="auto"/>
        <w:ind w:left="567" w:hanging="567"/>
        <w:jc w:val="both"/>
        <w:rPr>
          <w:rFonts w:ascii="Times New Roman" w:hAnsi="Times New Roman" w:cs="Times New Roman"/>
        </w:rPr>
      </w:pPr>
      <w:r>
        <w:rPr>
          <w:rFonts w:ascii="Times New Roman" w:hAnsi="Times New Roman" w:cs="Times New Roman"/>
          <w:smallCaps/>
        </w:rPr>
        <w:t>Vilanova</w:t>
      </w:r>
      <w:r>
        <w:rPr>
          <w:rFonts w:ascii="Times New Roman" w:hAnsi="Times New Roman" w:cs="Times New Roman"/>
        </w:rPr>
        <w:t xml:space="preserve">, Felipe; </w:t>
      </w:r>
      <w:r>
        <w:rPr>
          <w:rFonts w:ascii="Times New Roman" w:hAnsi="Times New Roman" w:cs="Times New Roman"/>
          <w:smallCaps/>
        </w:rPr>
        <w:t>Beria</w:t>
      </w:r>
      <w:r>
        <w:rPr>
          <w:rFonts w:ascii="Times New Roman" w:hAnsi="Times New Roman" w:cs="Times New Roman"/>
        </w:rPr>
        <w:t xml:space="preserve">, Francielle Machado; </w:t>
      </w:r>
      <w:r>
        <w:rPr>
          <w:rFonts w:ascii="Times New Roman" w:hAnsi="Times New Roman" w:cs="Times New Roman"/>
          <w:smallCaps/>
        </w:rPr>
        <w:t>Costa</w:t>
      </w:r>
      <w:r>
        <w:rPr>
          <w:rFonts w:ascii="Times New Roman" w:hAnsi="Times New Roman" w:cs="Times New Roman"/>
        </w:rPr>
        <w:t xml:space="preserve">, Angelo Brandelli und Silvia Helena </w:t>
      </w:r>
      <w:r>
        <w:rPr>
          <w:rFonts w:ascii="Times New Roman" w:hAnsi="Times New Roman" w:cs="Times New Roman"/>
          <w:smallCaps/>
        </w:rPr>
        <w:t>Koller</w:t>
      </w:r>
      <w:r>
        <w:rPr>
          <w:rFonts w:ascii="Times New Roman" w:hAnsi="Times New Roman" w:cs="Times New Roman"/>
        </w:rPr>
        <w:t xml:space="preserve"> (2017): Deindividuation: From Le Bon to the social identity model of deindividuation effects. In: </w:t>
      </w:r>
      <w:r>
        <w:rPr>
          <w:rFonts w:ascii="Times New Roman" w:hAnsi="Times New Roman" w:cs="Times New Roman"/>
          <w:i/>
          <w:iCs/>
        </w:rPr>
        <w:t>Cogent Psychology</w:t>
      </w:r>
      <w:r>
        <w:rPr>
          <w:rFonts w:ascii="Times New Roman" w:hAnsi="Times New Roman" w:cs="Times New Roman"/>
        </w:rPr>
        <w:t xml:space="preserve">, 4. </w:t>
      </w:r>
      <w:hyperlink r:id="rId13" w:history="1">
        <w:r>
          <w:rPr>
            <w:rStyle w:val="Hyperlink"/>
            <w:rFonts w:ascii="Times New Roman" w:hAnsi="Times New Roman" w:cs="Times New Roman"/>
          </w:rPr>
          <w:t>https://www.cogentoa.com/article/10.1080/23311908.2017.1308104</w:t>
        </w:r>
      </w:hyperlink>
      <w:r>
        <w:rPr>
          <w:rFonts w:ascii="Times New Roman" w:hAnsi="Times New Roman" w:cs="Times New Roman"/>
        </w:rPr>
        <w:t xml:space="preserve"> (letzter Abruf 04.09.2019).</w:t>
      </w:r>
    </w:p>
    <w:p>
      <w:pPr>
        <w:spacing w:line="360" w:lineRule="auto"/>
        <w:ind w:left="567" w:hanging="567"/>
        <w:jc w:val="both"/>
        <w:rPr>
          <w:rFonts w:ascii="Times New Roman" w:hAnsi="Times New Roman" w:cs="Times New Roman"/>
        </w:rPr>
      </w:pPr>
    </w:p>
    <w:sectPr>
      <w:footerReference w:type="defaul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DIYGO320">
    <w:panose1 w:val="02030504000101010101"/>
    <w:charset w:val="81"/>
    <w:family w:val="roman"/>
    <w:pitch w:val="variable"/>
    <w:sig w:usb0="800002A7" w:usb1="29D77CFB"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6476942"/>
      <w:docPartObj>
        <w:docPartGallery w:val="Page Numbers (Bottom of Page)"/>
        <w:docPartUnique/>
      </w:docPartObj>
    </w:sdtPr>
    <w:sdtContent>
      <w:p>
        <w:pPr>
          <w:pStyle w:val="Fuzeile"/>
          <w:jc w:val="right"/>
        </w:pPr>
        <w:r>
          <w:fldChar w:fldCharType="begin"/>
        </w:r>
        <w:r>
          <w:instrText>PAGE   \* MERGEFORMAT</w:instrText>
        </w:r>
        <w:r>
          <w:fldChar w:fldCharType="separate"/>
        </w:r>
        <w:r>
          <w:rPr>
            <w:noProof/>
          </w:rPr>
          <w:t>21</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 w:id="1">
    <w:p>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1-7 wurden von </w:t>
      </w:r>
      <w:r>
        <w:rPr>
          <w:rFonts w:ascii="Times New Roman" w:hAnsi="Times New Roman" w:cs="Times New Roman"/>
          <w:smallCaps/>
        </w:rPr>
        <w:t>Nussbaum</w:t>
      </w:r>
      <w:r>
        <w:rPr>
          <w:rFonts w:ascii="Times New Roman" w:hAnsi="Times New Roman" w:cs="Times New Roman"/>
        </w:rPr>
        <w:t xml:space="preserve"> aufgestellt, 8-10 sind ein Zusatz aufgenommen von </w:t>
      </w:r>
      <w:r>
        <w:rPr>
          <w:rFonts w:ascii="Times New Roman" w:hAnsi="Times New Roman" w:cs="Times New Roman"/>
          <w:smallCaps/>
        </w:rPr>
        <w:t>Langton (</w:t>
      </w:r>
      <w:r>
        <w:rPr>
          <w:rFonts w:ascii="Times New Roman" w:hAnsi="Times New Roman" w:cs="Times New Roman"/>
        </w:rPr>
        <w:t xml:space="preserve">2009: 225-231) durch </w:t>
      </w:r>
      <w:r>
        <w:rPr>
          <w:rFonts w:ascii="Times New Roman" w:hAnsi="Times New Roman" w:cs="Times New Roman"/>
          <w:smallCaps/>
        </w:rPr>
        <w:t>Nussbaum</w:t>
      </w:r>
    </w:p>
  </w:footnote>
  <w:footnote w:id="2">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mallCaps/>
        </w:rPr>
        <w:t>Bundeszentrale für politische</w:t>
      </w:r>
      <w:r>
        <w:rPr>
          <w:rFonts w:ascii="Times New Roman" w:hAnsi="Times New Roman" w:cs="Times New Roman"/>
        </w:rPr>
        <w:t xml:space="preserve"> </w:t>
      </w:r>
      <w:r>
        <w:rPr>
          <w:rFonts w:ascii="Times New Roman" w:hAnsi="Times New Roman" w:cs="Times New Roman"/>
          <w:smallCaps/>
        </w:rPr>
        <w:t>Bildung</w:t>
      </w:r>
      <w:r>
        <w:rPr>
          <w:rFonts w:ascii="Times New Roman" w:hAnsi="Times New Roman" w:cs="Times New Roman"/>
        </w:rPr>
        <w:t xml:space="preserve"> (2017): </w:t>
      </w:r>
      <w:r>
        <w:rPr>
          <w:rFonts w:ascii="Times New Roman" w:hAnsi="Times New Roman" w:cs="Times New Roman"/>
          <w:i/>
          <w:iCs/>
        </w:rPr>
        <w:t>Was ist Hate Speech?</w:t>
      </w:r>
      <w:r>
        <w:rPr>
          <w:rFonts w:ascii="Times New Roman" w:hAnsi="Times New Roman" w:cs="Times New Roman"/>
        </w:rPr>
        <w:t xml:space="preserve"> </w:t>
      </w:r>
      <w:hyperlink r:id="rId1" w:history="1">
        <w:r>
          <w:rPr>
            <w:rStyle w:val="Hyperlink"/>
            <w:rFonts w:ascii="Times New Roman" w:hAnsi="Times New Roman" w:cs="Times New Roman"/>
          </w:rPr>
          <w:t>https://www.bpb.de/252396/was-ist-hate-speech</w:t>
        </w:r>
      </w:hyperlink>
      <w:r>
        <w:rPr>
          <w:rFonts w:ascii="Times New Roman" w:hAnsi="Times New Roman" w:cs="Times New Roman"/>
        </w:rPr>
        <w:t xml:space="preserve"> (letzter Abruf 27.08.2019).</w:t>
      </w:r>
    </w:p>
  </w:footnote>
  <w:footnote w:id="3">
    <w:p>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Unhöflichkeiten, nicht nur im Sinne von Beleidigungen, sondern auch von Abwertungen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83CDE"/>
    <w:multiLevelType w:val="hybridMultilevel"/>
    <w:tmpl w:val="E0DA94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166700"/>
    <w:multiLevelType w:val="hybridMultilevel"/>
    <w:tmpl w:val="39B670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E20063"/>
    <w:multiLevelType w:val="hybridMultilevel"/>
    <w:tmpl w:val="C3BA67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D65402C"/>
    <w:multiLevelType w:val="multilevel"/>
    <w:tmpl w:val="48EE372C"/>
    <w:lvl w:ilvl="0">
      <w:start w:val="1"/>
      <w:numFmt w:val="decimal"/>
      <w:lvlText w:val="%1"/>
      <w:lvlJc w:val="left"/>
      <w:pPr>
        <w:ind w:left="689" w:hanging="689"/>
      </w:pPr>
      <w:rPr>
        <w:rFonts w:hint="default"/>
      </w:rPr>
    </w:lvl>
    <w:lvl w:ilvl="1">
      <w:start w:val="1"/>
      <w:numFmt w:val="decimal"/>
      <w:lvlText w:val="%1.%2"/>
      <w:lvlJc w:val="left"/>
      <w:pPr>
        <w:ind w:left="1409" w:hanging="689"/>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3C5E2853"/>
    <w:multiLevelType w:val="hybridMultilevel"/>
    <w:tmpl w:val="266086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50B49EB"/>
    <w:multiLevelType w:val="hybridMultilevel"/>
    <w:tmpl w:val="EDC89B5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7A81E06"/>
    <w:multiLevelType w:val="hybridMultilevel"/>
    <w:tmpl w:val="0E32D5AA"/>
    <w:lvl w:ilvl="0" w:tplc="3286B1B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12E370C"/>
    <w:multiLevelType w:val="hybridMultilevel"/>
    <w:tmpl w:val="7480E1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6F3127C"/>
    <w:multiLevelType w:val="hybridMultilevel"/>
    <w:tmpl w:val="1038A084"/>
    <w:lvl w:ilvl="0" w:tplc="909E9712">
      <w:start w:val="1"/>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1"/>
  </w:num>
  <w:num w:numId="6">
    <w:abstractNumId w:val="5"/>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E11566-8595-46A2-8868-30036CC3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ko-KR"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HellesRaster-Akzent1">
    <w:name w:val="Light Grid Accent 1"/>
    <w:basedOn w:val="NormaleTabelle"/>
    <w:uiPriority w:val="6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ellenraster">
    <w:name w:val="Table Grid"/>
    <w:basedOn w:val="NormaleTabelle"/>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1">
    <w:name w:val="Light Shading Accent 1"/>
    <w:basedOn w:val="NormaleTabelle"/>
    <w:uiPriority w:val="60"/>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369808">
      <w:bodyDiv w:val="1"/>
      <w:marLeft w:val="0"/>
      <w:marRight w:val="0"/>
      <w:marTop w:val="0"/>
      <w:marBottom w:val="0"/>
      <w:divBdr>
        <w:top w:val="none" w:sz="0" w:space="0" w:color="auto"/>
        <w:left w:val="none" w:sz="0" w:space="0" w:color="auto"/>
        <w:bottom w:val="none" w:sz="0" w:space="0" w:color="auto"/>
        <w:right w:val="none" w:sz="0" w:space="0" w:color="auto"/>
      </w:divBdr>
    </w:div>
    <w:div w:id="586309357">
      <w:bodyDiv w:val="1"/>
      <w:marLeft w:val="0"/>
      <w:marRight w:val="0"/>
      <w:marTop w:val="0"/>
      <w:marBottom w:val="0"/>
      <w:divBdr>
        <w:top w:val="none" w:sz="0" w:space="0" w:color="auto"/>
        <w:left w:val="none" w:sz="0" w:space="0" w:color="auto"/>
        <w:bottom w:val="none" w:sz="0" w:space="0" w:color="auto"/>
        <w:right w:val="none" w:sz="0" w:space="0" w:color="auto"/>
      </w:divBdr>
    </w:div>
    <w:div w:id="883718053">
      <w:bodyDiv w:val="1"/>
      <w:marLeft w:val="0"/>
      <w:marRight w:val="0"/>
      <w:marTop w:val="0"/>
      <w:marBottom w:val="0"/>
      <w:divBdr>
        <w:top w:val="none" w:sz="0" w:space="0" w:color="auto"/>
        <w:left w:val="none" w:sz="0" w:space="0" w:color="auto"/>
        <w:bottom w:val="none" w:sz="0" w:space="0" w:color="auto"/>
        <w:right w:val="none" w:sz="0" w:space="0" w:color="auto"/>
      </w:divBdr>
    </w:div>
    <w:div w:id="1042054330">
      <w:bodyDiv w:val="1"/>
      <w:marLeft w:val="0"/>
      <w:marRight w:val="0"/>
      <w:marTop w:val="0"/>
      <w:marBottom w:val="0"/>
      <w:divBdr>
        <w:top w:val="none" w:sz="0" w:space="0" w:color="auto"/>
        <w:left w:val="none" w:sz="0" w:space="0" w:color="auto"/>
        <w:bottom w:val="none" w:sz="0" w:space="0" w:color="auto"/>
        <w:right w:val="none" w:sz="0" w:space="0" w:color="auto"/>
      </w:divBdr>
    </w:div>
    <w:div w:id="1140423928">
      <w:bodyDiv w:val="1"/>
      <w:marLeft w:val="0"/>
      <w:marRight w:val="0"/>
      <w:marTop w:val="0"/>
      <w:marBottom w:val="0"/>
      <w:divBdr>
        <w:top w:val="none" w:sz="0" w:space="0" w:color="auto"/>
        <w:left w:val="none" w:sz="0" w:space="0" w:color="auto"/>
        <w:bottom w:val="none" w:sz="0" w:space="0" w:color="auto"/>
        <w:right w:val="none" w:sz="0" w:space="0" w:color="auto"/>
      </w:divBdr>
    </w:div>
    <w:div w:id="153531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13698230.2019.1576006" TargetMode="External"/><Relationship Id="rId13" Type="http://schemas.openxmlformats.org/officeDocument/2006/relationships/hyperlink" Target="https://www.cogentoa.com/article/10.1080/23311908.2017.13081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oreaexpose.com/what-seungri-burning-sun-scandal-says-about-korea-gender-dispari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jms.in/sites/irjms/index.php/files/article/view/4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reaherald.com/view.php?ud=20190627000655" TargetMode="External"/><Relationship Id="rId4" Type="http://schemas.openxmlformats.org/officeDocument/2006/relationships/settings" Target="settings.xml"/><Relationship Id="rId9" Type="http://schemas.openxmlformats.org/officeDocument/2006/relationships/hyperlink" Target="http://www.koreaherald.com/view.php?ud=20190625000810"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pb.de/252396/was-ist-hate-spee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BE959-578E-422F-A9B5-3F9C8366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10308</Words>
  <Characters>64947</Characters>
  <Application>Microsoft Office Word</Application>
  <DocSecurity>0</DocSecurity>
  <Lines>541</Lines>
  <Paragraphs>150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Rebecca Schmidt</cp:lastModifiedBy>
  <cp:revision>195</cp:revision>
  <cp:lastPrinted>2017-03-29T19:28:00Z</cp:lastPrinted>
  <dcterms:created xsi:type="dcterms:W3CDTF">2019-01-31T11:14:00Z</dcterms:created>
  <dcterms:modified xsi:type="dcterms:W3CDTF">2019-09-12T11:30:00Z</dcterms:modified>
</cp:coreProperties>
</file>